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C7B9C5">
      <w:pPr>
        <w:spacing w:line="276" w:lineRule="auto"/>
        <w:jc w:val="both"/>
        <w:rPr>
          <w:rFonts w:ascii="Calibri" w:hAnsi="Calibri" w:eastAsia="Times New Roman" w:cs="Calibri"/>
          <w:bCs/>
          <w:kern w:val="0"/>
          <w:sz w:val="24"/>
          <w:szCs w:val="24"/>
          <w:lang w:val="en-US" w:eastAsia="hr-HR"/>
          <w14:ligatures w14:val="none"/>
        </w:rPr>
      </w:pPr>
      <w:r>
        <w:rPr>
          <w:rFonts w:ascii="Calibri" w:hAnsi="Calibri" w:eastAsia="Times New Roman" w:cs="Calibri"/>
          <w:bCs/>
          <w:kern w:val="0"/>
          <w:sz w:val="24"/>
          <w:szCs w:val="24"/>
          <w:lang w:val="en-US" w:eastAsia="hr-HR"/>
          <w14:ligatures w14:val="none"/>
        </w:rPr>
        <w:t>KLASA:</w:t>
      </w:r>
      <w:r>
        <w:rPr>
          <w:rFonts w:hint="default" w:ascii="Calibri" w:hAnsi="Calibri" w:eastAsia="Times New Roman" w:cs="Calibri"/>
          <w:bCs/>
          <w:kern w:val="0"/>
          <w:sz w:val="24"/>
          <w:szCs w:val="24"/>
          <w:lang w:val="en-US" w:eastAsia="hr-HR"/>
          <w14:ligatures w14:val="none"/>
        </w:rPr>
        <w:t xml:space="preserve"> </w:t>
      </w:r>
      <w:r>
        <w:rPr>
          <w:rFonts w:ascii="SimSun" w:hAnsi="SimSun" w:eastAsia="SimSun" w:cs="SimSun"/>
          <w:sz w:val="24"/>
          <w:szCs w:val="24"/>
        </w:rPr>
        <w:t>112-06/26-01/04</w:t>
      </w:r>
      <w:r>
        <w:rPr>
          <w:rFonts w:ascii="Calibri" w:hAnsi="Calibri" w:eastAsia="Times New Roman" w:cs="Calibri"/>
          <w:bCs/>
          <w:kern w:val="0"/>
          <w:sz w:val="24"/>
          <w:szCs w:val="24"/>
          <w:lang w:val="en-US" w:eastAsia="hr-HR"/>
          <w14:ligatures w14:val="none"/>
        </w:rPr>
        <w:br w:type="textWrapping"/>
      </w:r>
      <w:r>
        <w:rPr>
          <w:rFonts w:ascii="Calibri" w:hAnsi="Calibri" w:eastAsia="Times New Roman" w:cs="Calibri"/>
          <w:bCs/>
          <w:kern w:val="0"/>
          <w:sz w:val="24"/>
          <w:szCs w:val="24"/>
          <w:lang w:val="en-US" w:eastAsia="hr-HR"/>
          <w14:ligatures w14:val="none"/>
        </w:rPr>
        <w:t xml:space="preserve">URBROJ: </w:t>
      </w:r>
      <w:r>
        <w:rPr>
          <w:rFonts w:ascii="SimSun" w:hAnsi="SimSun" w:eastAsia="SimSun" w:cs="SimSun"/>
          <w:kern w:val="0"/>
          <w:sz w:val="24"/>
          <w:szCs w:val="24"/>
          <w:lang w:val="en-US" w:eastAsia="zh-CN" w:bidi="ar"/>
          <w14:ligatures w14:val="standardContextual"/>
        </w:rPr>
        <w:t>2109-26-1-01/1-26-12</w:t>
      </w:r>
    </w:p>
    <w:p w14:paraId="794BEB47">
      <w:pPr>
        <w:spacing w:line="276" w:lineRule="auto"/>
        <w:jc w:val="both"/>
        <w:rPr>
          <w:rFonts w:ascii="Calibri" w:hAnsi="Calibri" w:eastAsia="Times New Roman" w:cs="Calibri"/>
          <w:bCs/>
          <w:kern w:val="0"/>
          <w:sz w:val="24"/>
          <w:szCs w:val="24"/>
          <w:lang w:val="en-US" w:eastAsia="hr-HR"/>
          <w14:ligatures w14:val="none"/>
        </w:rPr>
      </w:pPr>
      <w:r>
        <w:rPr>
          <w:rFonts w:ascii="Calibri" w:hAnsi="Calibri" w:eastAsia="Times New Roman" w:cs="Calibri"/>
          <w:bCs/>
          <w:kern w:val="0"/>
          <w:sz w:val="24"/>
          <w:szCs w:val="24"/>
          <w:lang w:val="en-US" w:eastAsia="hr-HR"/>
          <w14:ligatures w14:val="none"/>
        </w:rPr>
        <w:br w:type="textWrapping"/>
      </w:r>
      <w:r>
        <w:rPr>
          <w:rFonts w:ascii="Calibri" w:hAnsi="Calibri" w:eastAsia="Times New Roman" w:cs="Calibri"/>
          <w:bCs/>
          <w:kern w:val="0"/>
          <w:sz w:val="24"/>
          <w:szCs w:val="24"/>
          <w:lang w:val="en-US" w:eastAsia="hr-HR"/>
          <w14:ligatures w14:val="none"/>
        </w:rPr>
        <w:t>Pribislavec, 1</w:t>
      </w:r>
      <w:r>
        <w:rPr>
          <w:rFonts w:hint="default" w:ascii="Calibri" w:hAnsi="Calibri" w:eastAsia="Times New Roman" w:cs="Calibri"/>
          <w:bCs/>
          <w:kern w:val="0"/>
          <w:sz w:val="24"/>
          <w:szCs w:val="24"/>
          <w:lang w:val="en-US" w:eastAsia="hr-HR"/>
          <w14:ligatures w14:val="none"/>
        </w:rPr>
        <w:t>2</w:t>
      </w:r>
      <w:r>
        <w:rPr>
          <w:rFonts w:ascii="Calibri" w:hAnsi="Calibri" w:eastAsia="Times New Roman" w:cs="Calibri"/>
          <w:bCs/>
          <w:kern w:val="0"/>
          <w:sz w:val="24"/>
          <w:szCs w:val="24"/>
          <w:lang w:val="en-US" w:eastAsia="hr-HR"/>
          <w14:ligatures w14:val="none"/>
        </w:rPr>
        <w:t>. kolovoz 2026. godine</w:t>
      </w:r>
    </w:p>
    <w:p w14:paraId="7826D863">
      <w:pPr>
        <w:spacing w:line="276" w:lineRule="auto"/>
        <w:jc w:val="both"/>
        <w:rPr>
          <w:rFonts w:ascii="Calibri" w:hAnsi="Calibri" w:eastAsia="Times New Roman" w:cs="Calibri"/>
          <w:kern w:val="0"/>
          <w:sz w:val="24"/>
          <w:szCs w:val="24"/>
          <w:lang w:val="en-US" w:eastAsia="hr-HR"/>
          <w14:ligatures w14:val="none"/>
        </w:rPr>
      </w:pPr>
    </w:p>
    <w:p w14:paraId="07EB17F5">
      <w:pPr>
        <w:spacing w:line="276" w:lineRule="auto"/>
        <w:jc w:val="center"/>
        <w:rPr>
          <w:rFonts w:ascii="Calibri" w:hAnsi="Calibri" w:eastAsia="Times New Roman" w:cs="Calibri"/>
          <w:b/>
          <w:bCs/>
          <w:kern w:val="0"/>
          <w:sz w:val="28"/>
          <w:szCs w:val="28"/>
          <w:lang w:val="en-US" w:eastAsia="hr-HR"/>
          <w14:ligatures w14:val="none"/>
        </w:rPr>
      </w:pPr>
      <w:r>
        <w:rPr>
          <w:rFonts w:ascii="Calibri" w:hAnsi="Calibri" w:eastAsia="Times New Roman" w:cs="Calibri"/>
          <w:b/>
          <w:bCs/>
          <w:kern w:val="0"/>
          <w:sz w:val="28"/>
          <w:szCs w:val="28"/>
          <w:lang w:val="en-US" w:eastAsia="hr-HR"/>
          <w14:ligatures w14:val="none"/>
        </w:rPr>
        <w:t>Dječji vrtić “Magnolija”</w:t>
      </w:r>
    </w:p>
    <w:p w14:paraId="11FCD10B">
      <w:pPr>
        <w:spacing w:after="0" w:line="276" w:lineRule="auto"/>
        <w:jc w:val="center"/>
        <w:rPr>
          <w:rFonts w:ascii="Calibri" w:hAnsi="Calibri" w:eastAsia="Times New Roman" w:cs="Calibri"/>
          <w:b/>
          <w:kern w:val="0"/>
          <w:sz w:val="28"/>
          <w:szCs w:val="28"/>
          <w:lang w:val="en-US" w:eastAsia="hr-HR"/>
          <w14:ligatures w14:val="none"/>
        </w:rPr>
      </w:pPr>
      <w:r>
        <w:rPr>
          <w:rFonts w:ascii="Calibri" w:hAnsi="Calibri" w:eastAsia="Times New Roman" w:cs="Calibri"/>
          <w:b/>
          <w:kern w:val="0"/>
          <w:sz w:val="28"/>
          <w:szCs w:val="28"/>
          <w:lang w:val="en-US" w:eastAsia="hr-HR"/>
          <w14:ligatures w14:val="none"/>
        </w:rPr>
        <w:t>IZVJEŠĆE</w:t>
      </w:r>
    </w:p>
    <w:p w14:paraId="0746C6AF">
      <w:pPr>
        <w:spacing w:after="0" w:line="276" w:lineRule="auto"/>
        <w:jc w:val="center"/>
        <w:rPr>
          <w:rFonts w:ascii="Calibri" w:hAnsi="Calibri" w:eastAsia="Times New Roman" w:cs="Calibri"/>
          <w:b/>
          <w:kern w:val="0"/>
          <w:sz w:val="28"/>
          <w:szCs w:val="28"/>
          <w:lang w:eastAsia="hr-HR"/>
          <w14:ligatures w14:val="none"/>
        </w:rPr>
      </w:pPr>
      <w:r>
        <w:rPr>
          <w:rFonts w:ascii="Calibri" w:hAnsi="Calibri" w:eastAsia="Times New Roman" w:cs="Calibri"/>
          <w:b/>
          <w:kern w:val="0"/>
          <w:sz w:val="28"/>
          <w:szCs w:val="28"/>
          <w:lang w:eastAsia="hr-HR"/>
          <w14:ligatures w14:val="none"/>
        </w:rPr>
        <w:t xml:space="preserve">Povjerenstva za provedbu vrednovanja i intervjua </w:t>
      </w:r>
    </w:p>
    <w:p w14:paraId="0EEE467F">
      <w:pPr>
        <w:spacing w:after="0" w:line="276" w:lineRule="auto"/>
        <w:jc w:val="center"/>
        <w:rPr>
          <w:rFonts w:ascii="Calibri" w:hAnsi="Calibri" w:eastAsia="Times New Roman" w:cs="Calibri"/>
          <w:b/>
          <w:kern w:val="0"/>
          <w:sz w:val="28"/>
          <w:szCs w:val="28"/>
          <w:lang w:eastAsia="hr-HR"/>
          <w14:ligatures w14:val="none"/>
        </w:rPr>
      </w:pPr>
      <w:r>
        <w:rPr>
          <w:rFonts w:ascii="Calibri" w:hAnsi="Calibri" w:eastAsia="Times New Roman" w:cs="Calibri"/>
          <w:b/>
          <w:kern w:val="0"/>
          <w:sz w:val="28"/>
          <w:szCs w:val="28"/>
          <w:lang w:eastAsia="hr-HR"/>
          <w14:ligatures w14:val="none"/>
        </w:rPr>
        <w:t xml:space="preserve">po objavljenom javnom natječaju za radno mjesto </w:t>
      </w:r>
    </w:p>
    <w:p w14:paraId="25C76E47">
      <w:pPr>
        <w:spacing w:after="0" w:line="276" w:lineRule="auto"/>
        <w:jc w:val="center"/>
        <w:rPr>
          <w:rFonts w:ascii="Calibri" w:hAnsi="Calibri" w:eastAsia="Times New Roman" w:cs="Calibri"/>
          <w:b/>
          <w:kern w:val="0"/>
          <w:sz w:val="28"/>
          <w:szCs w:val="28"/>
          <w:lang w:eastAsia="hr-HR"/>
          <w14:ligatures w14:val="none"/>
        </w:rPr>
      </w:pPr>
      <w:r>
        <w:rPr>
          <w:rFonts w:ascii="Calibri" w:hAnsi="Calibri" w:eastAsia="Times New Roman" w:cs="Calibri"/>
          <w:b/>
          <w:kern w:val="0"/>
          <w:sz w:val="28"/>
          <w:szCs w:val="28"/>
          <w:lang w:val="en-US" w:eastAsia="hr-HR"/>
          <w14:ligatures w14:val="none"/>
        </w:rPr>
        <w:t>PEDAGOG</w:t>
      </w:r>
      <w:r>
        <w:rPr>
          <w:rFonts w:ascii="Calibri" w:hAnsi="Calibri" w:eastAsia="Times New Roman" w:cs="Calibri"/>
          <w:b/>
          <w:kern w:val="0"/>
          <w:sz w:val="28"/>
          <w:szCs w:val="28"/>
          <w:lang w:eastAsia="hr-HR"/>
          <w14:ligatures w14:val="none"/>
        </w:rPr>
        <w:t xml:space="preserve"> (m/ž)</w:t>
      </w:r>
    </w:p>
    <w:p w14:paraId="75D205DA">
      <w:pPr>
        <w:spacing w:line="276" w:lineRule="auto"/>
        <w:jc w:val="center"/>
        <w:rPr>
          <w:rFonts w:ascii="Calibri" w:hAnsi="Calibri" w:eastAsia="Times New Roman" w:cs="Calibri"/>
          <w:kern w:val="0"/>
          <w:sz w:val="28"/>
          <w:szCs w:val="28"/>
          <w:lang w:val="en-US" w:eastAsia="hr-HR"/>
          <w14:ligatures w14:val="none"/>
        </w:rPr>
      </w:pPr>
    </w:p>
    <w:p w14:paraId="14343D39">
      <w:pPr>
        <w:pStyle w:val="11"/>
        <w:spacing w:before="0" w:beforeAutospacing="0" w:line="276" w:lineRule="auto"/>
        <w:ind w:firstLine="708"/>
        <w:jc w:val="both"/>
        <w:rPr>
          <w:rFonts w:eastAsia="sans-serif" w:asciiTheme="minorHAnsi" w:hAnsiTheme="minorHAnsi" w:cstheme="minorHAnsi"/>
        </w:rPr>
      </w:pPr>
      <w:r>
        <w:rPr>
          <w:rFonts w:eastAsia="sans-serif" w:asciiTheme="minorHAnsi" w:hAnsiTheme="minorHAnsi" w:cstheme="minorHAnsi"/>
        </w:rPr>
        <w:t xml:space="preserve">Povjerenstvo za provedbu vrednovanja i intervjua po objavljenom javnom natječaju u Dječjem vrtiću „Magnolija“, imenovano Odlukom ravnateljice Dječjeg vrtića „Magnolija“ </w:t>
      </w:r>
      <w:r>
        <w:rPr>
          <w:rFonts w:asciiTheme="minorHAnsi" w:hAnsiTheme="minorHAnsi" w:cstheme="minorHAnsi"/>
        </w:rPr>
        <w:t>(KLASA: 112-06/26-01/02, URBROJ: 2109-26-1-01/1-26-2)</w:t>
      </w:r>
      <w:r>
        <w:rPr>
          <w:rFonts w:eastAsia="sans-serif" w:asciiTheme="minorHAnsi" w:hAnsiTheme="minorHAnsi" w:cstheme="minorHAnsi"/>
        </w:rPr>
        <w:t xml:space="preserve">, provelo je postupak odabira kandidata prijavljenih na natječaj za radno mjesto </w:t>
      </w:r>
      <w:r>
        <w:rPr>
          <w:rFonts w:eastAsia="sans-serif" w:asciiTheme="minorHAnsi" w:hAnsiTheme="minorHAnsi" w:cstheme="minorHAnsi"/>
          <w:b/>
        </w:rPr>
        <w:t>pedagoga (m/ž)</w:t>
      </w:r>
      <w:r>
        <w:rPr>
          <w:rFonts w:eastAsia="sans-serif" w:asciiTheme="minorHAnsi" w:hAnsiTheme="minorHAnsi" w:cstheme="minorHAnsi"/>
        </w:rPr>
        <w:t xml:space="preserve">. </w:t>
      </w:r>
    </w:p>
    <w:p w14:paraId="61D0B279">
      <w:pPr>
        <w:pStyle w:val="11"/>
        <w:spacing w:line="276" w:lineRule="auto"/>
        <w:ind w:firstLine="708"/>
        <w:jc w:val="both"/>
        <w:rPr>
          <w:rFonts w:hint="default" w:asciiTheme="minorHAnsi" w:hAnsiTheme="minorHAnsi" w:cstheme="minorHAnsi"/>
          <w:lang w:val="hr-HR"/>
        </w:rPr>
      </w:pPr>
      <w:r>
        <w:rPr>
          <w:rFonts w:eastAsia="sans-serif" w:asciiTheme="minorHAnsi" w:hAnsiTheme="minorHAnsi" w:cstheme="minorHAnsi"/>
        </w:rPr>
        <w:t xml:space="preserve">Natječaj je objavljen dana 24. srpnja 2026. godine, a rok za podnošenje prijava bio je do 1. kolovoza 2026. godine. </w:t>
      </w:r>
      <w:r>
        <w:rPr>
          <w:rFonts w:asciiTheme="minorHAnsi" w:hAnsiTheme="minorHAnsi" w:cstheme="minorHAnsi"/>
        </w:rPr>
        <w:t xml:space="preserve">Po isteku roka za podnošenje prijava Povjerenstvo je pregledalo zaprimljene prijave i priloženu dokumentaciju te utvrdilo da </w:t>
      </w:r>
      <w:r>
        <w:rPr>
          <w:rFonts w:hint="default" w:asciiTheme="minorHAnsi" w:hAnsiTheme="minorHAnsi" w:cstheme="minorHAnsi"/>
          <w:lang w:val="hr-HR"/>
        </w:rPr>
        <w:t>je</w:t>
      </w:r>
      <w:r>
        <w:rPr>
          <w:rFonts w:asciiTheme="minorHAnsi" w:hAnsiTheme="minorHAnsi" w:cstheme="minorHAnsi"/>
        </w:rPr>
        <w:t xml:space="preserve"> pristigl</w:t>
      </w:r>
      <w:r>
        <w:rPr>
          <w:rFonts w:hint="default" w:asciiTheme="minorHAnsi" w:hAnsiTheme="minorHAnsi" w:cstheme="minorHAnsi"/>
          <w:lang w:val="hr-HR"/>
        </w:rPr>
        <w:t>o</w:t>
      </w:r>
      <w:r>
        <w:rPr>
          <w:rFonts w:asciiTheme="minorHAnsi" w:hAnsiTheme="minorHAnsi" w:cstheme="minorHAnsi"/>
        </w:rPr>
        <w:t xml:space="preserve"> ukupno </w:t>
      </w:r>
      <w:r>
        <w:rPr>
          <w:rFonts w:hint="default" w:asciiTheme="minorHAnsi" w:hAnsiTheme="minorHAnsi" w:cstheme="minorHAnsi"/>
          <w:b/>
          <w:bCs/>
          <w:lang w:val="hr-HR"/>
        </w:rPr>
        <w:t>10</w:t>
      </w:r>
      <w:r>
        <w:rPr>
          <w:rFonts w:asciiTheme="minorHAnsi" w:hAnsiTheme="minorHAnsi" w:cstheme="minorHAnsi"/>
          <w:b/>
          <w:bCs/>
        </w:rPr>
        <w:t xml:space="preserve"> prijav</w:t>
      </w:r>
      <w:r>
        <w:rPr>
          <w:rFonts w:hint="default" w:asciiTheme="minorHAnsi" w:hAnsiTheme="minorHAnsi" w:cstheme="minorHAnsi"/>
          <w:b/>
          <w:bCs/>
          <w:lang w:val="hr-HR"/>
        </w:rPr>
        <w:t xml:space="preserve">a. </w:t>
      </w:r>
    </w:p>
    <w:p w14:paraId="4107EBCA">
      <w:pPr>
        <w:pStyle w:val="11"/>
        <w:spacing w:before="0" w:beforeAutospacing="0" w:line="276" w:lineRule="auto"/>
        <w:ind w:firstLine="708"/>
        <w:jc w:val="both"/>
        <w:rPr>
          <w:rFonts w:eastAsia="sans-serif" w:asciiTheme="minorHAnsi" w:hAnsiTheme="minorHAnsi" w:cstheme="minorHAnsi"/>
        </w:rPr>
      </w:pPr>
      <w:r>
        <w:rPr>
          <w:rFonts w:eastAsia="sans-serif" w:asciiTheme="minorHAnsi" w:hAnsiTheme="minorHAnsi" w:cstheme="minorHAnsi"/>
        </w:rPr>
        <w:t>Nakon pregleda zaprimljene dokumentacije utvrđeno je da</w:t>
      </w:r>
      <w:r>
        <w:rPr>
          <w:rFonts w:hint="default" w:eastAsia="sans-serif" w:asciiTheme="minorHAnsi" w:hAnsiTheme="minorHAnsi" w:cstheme="minorHAnsi"/>
          <w:lang w:val="hr-HR"/>
        </w:rPr>
        <w:t xml:space="preserve"> je</w:t>
      </w:r>
      <w:r>
        <w:rPr>
          <w:rFonts w:eastAsia="sans-serif" w:asciiTheme="minorHAnsi" w:hAnsiTheme="minorHAnsi" w:cstheme="minorHAnsi"/>
        </w:rPr>
        <w:t xml:space="preserve"> formalne </w:t>
      </w:r>
      <w:r>
        <w:rPr>
          <w:rFonts w:hint="default" w:eastAsia="sans-serif" w:asciiTheme="minorHAnsi" w:hAnsiTheme="minorHAnsi" w:cstheme="minorHAnsi"/>
          <w:lang w:val="hr-HR"/>
        </w:rPr>
        <w:t>i</w:t>
      </w:r>
      <w:r>
        <w:rPr>
          <w:rFonts w:eastAsia="sans-serif" w:asciiTheme="minorHAnsi" w:hAnsiTheme="minorHAnsi" w:cstheme="minorHAnsi"/>
        </w:rPr>
        <w:t xml:space="preserve"> ostale uvjete </w:t>
      </w:r>
      <w:r>
        <w:rPr>
          <w:rFonts w:hint="default" w:eastAsia="sans-serif" w:asciiTheme="minorHAnsi" w:hAnsiTheme="minorHAnsi" w:cstheme="minorHAnsi"/>
          <w:lang w:val="hr-HR"/>
        </w:rPr>
        <w:t xml:space="preserve">natječaja </w:t>
      </w:r>
      <w:r>
        <w:rPr>
          <w:rFonts w:eastAsia="sans-serif" w:asciiTheme="minorHAnsi" w:hAnsiTheme="minorHAnsi" w:cstheme="minorHAnsi"/>
        </w:rPr>
        <w:t xml:space="preserve">u potpunosti ispunila </w:t>
      </w:r>
      <w:r>
        <w:rPr>
          <w:rFonts w:eastAsia="sans-serif" w:asciiTheme="minorHAnsi" w:hAnsiTheme="minorHAnsi" w:cstheme="minorHAnsi"/>
          <w:b/>
          <w:bCs/>
        </w:rPr>
        <w:t>1 (jedna) kandidatkinja</w:t>
      </w:r>
      <w:r>
        <w:rPr>
          <w:rFonts w:eastAsia="sans-serif" w:asciiTheme="minorHAnsi" w:hAnsiTheme="minorHAnsi" w:cstheme="minorHAnsi"/>
        </w:rPr>
        <w:t xml:space="preserve">. Kandidatkinja koja je ispunjavala sve uvjete natječaja pozvana je na razgovor (intervju) pred Povjerenstvom dana 12. kolovoza 2026. godine. </w:t>
      </w:r>
    </w:p>
    <w:p w14:paraId="436F73D6">
      <w:pPr>
        <w:pStyle w:val="11"/>
        <w:numPr>
          <w:ilvl w:val="0"/>
          <w:numId w:val="3"/>
        </w:numPr>
        <w:spacing w:before="0" w:beforeAutospacing="0" w:line="276" w:lineRule="auto"/>
        <w:rPr>
          <w:rFonts w:eastAsia="sans-serif" w:asciiTheme="minorHAnsi" w:hAnsiTheme="minorHAnsi" w:cstheme="minorHAnsi"/>
        </w:rPr>
      </w:pPr>
      <w:r>
        <w:rPr>
          <w:rFonts w:eastAsia="sans-serif" w:asciiTheme="minorHAnsi" w:hAnsiTheme="minorHAnsi" w:cstheme="minorHAnsi"/>
          <w:b/>
          <w:bCs/>
        </w:rPr>
        <w:t>Provedba intervjua</w:t>
      </w:r>
    </w:p>
    <w:p w14:paraId="30E379E6">
      <w:pPr>
        <w:pStyle w:val="11"/>
        <w:spacing w:before="0" w:beforeAutospacing="0" w:after="0" w:afterAutospacing="0" w:line="276" w:lineRule="auto"/>
        <w:ind w:firstLine="360"/>
        <w:rPr>
          <w:rFonts w:eastAsia="sans-serif" w:asciiTheme="minorHAnsi" w:hAnsiTheme="minorHAnsi" w:cstheme="minorHAnsi"/>
        </w:rPr>
      </w:pPr>
      <w:r>
        <w:rPr>
          <w:rFonts w:eastAsia="sans-serif" w:asciiTheme="minorHAnsi" w:hAnsiTheme="minorHAnsi" w:cstheme="minorHAnsi"/>
        </w:rPr>
        <w:t>Intervju s kandidatkinjom proveden je u prostorijama Općine Pribislavec. Tijekom razgovora procjenjivale su se osobito:</w:t>
      </w:r>
    </w:p>
    <w:p w14:paraId="246705C5">
      <w:pPr>
        <w:pStyle w:val="11"/>
        <w:numPr>
          <w:ilvl w:val="0"/>
          <w:numId w:val="4"/>
        </w:numPr>
        <w:spacing w:before="0" w:beforeAutospacing="0" w:line="276" w:lineRule="auto"/>
        <w:rPr>
          <w:rFonts w:eastAsia="sans-serif" w:asciiTheme="minorHAnsi" w:hAnsiTheme="minorHAnsi" w:cstheme="minorHAnsi"/>
        </w:rPr>
      </w:pPr>
      <w:r>
        <w:rPr>
          <w:rFonts w:eastAsia="sans-serif" w:asciiTheme="minorHAnsi" w:hAnsiTheme="minorHAnsi" w:cstheme="minorHAnsi"/>
        </w:rPr>
        <w:t xml:space="preserve">motivacija za rad na radnom mjestu pedagoga u dječjem vrtiću, </w:t>
      </w:r>
    </w:p>
    <w:p w14:paraId="0139CDB9">
      <w:pPr>
        <w:pStyle w:val="11"/>
        <w:numPr>
          <w:ilvl w:val="0"/>
          <w:numId w:val="4"/>
        </w:numPr>
        <w:spacing w:before="0" w:beforeAutospacing="0" w:line="276" w:lineRule="auto"/>
        <w:rPr>
          <w:rFonts w:eastAsia="sans-serif" w:asciiTheme="minorHAnsi" w:hAnsiTheme="minorHAnsi" w:cstheme="minorHAnsi"/>
        </w:rPr>
      </w:pPr>
      <w:r>
        <w:rPr>
          <w:rFonts w:eastAsia="sans-serif" w:asciiTheme="minorHAnsi" w:hAnsiTheme="minorHAnsi" w:cstheme="minorHAnsi"/>
        </w:rPr>
        <w:t xml:space="preserve">razumijevanje uloge i zadataka stručnog suradnika pedagoga, </w:t>
      </w:r>
    </w:p>
    <w:p w14:paraId="4B68754C">
      <w:pPr>
        <w:pStyle w:val="11"/>
        <w:numPr>
          <w:ilvl w:val="0"/>
          <w:numId w:val="4"/>
        </w:numPr>
        <w:spacing w:before="0" w:beforeAutospacing="0" w:line="276" w:lineRule="auto"/>
        <w:rPr>
          <w:rFonts w:eastAsia="sans-serif" w:asciiTheme="minorHAnsi" w:hAnsiTheme="minorHAnsi" w:cstheme="minorHAnsi"/>
        </w:rPr>
      </w:pPr>
      <w:r>
        <w:rPr>
          <w:rFonts w:eastAsia="sans-serif" w:asciiTheme="minorHAnsi" w:hAnsiTheme="minorHAnsi" w:cstheme="minorHAnsi"/>
        </w:rPr>
        <w:t xml:space="preserve">kompetencije za praćenje, unapređivanje i razvoj odgojno-obrazovnog rada, </w:t>
      </w:r>
    </w:p>
    <w:p w14:paraId="78A9EA77">
      <w:pPr>
        <w:pStyle w:val="11"/>
        <w:numPr>
          <w:ilvl w:val="0"/>
          <w:numId w:val="4"/>
        </w:numPr>
        <w:spacing w:before="0" w:beforeAutospacing="0" w:line="276" w:lineRule="auto"/>
        <w:rPr>
          <w:rFonts w:eastAsia="sans-serif" w:asciiTheme="minorHAnsi" w:hAnsiTheme="minorHAnsi" w:cstheme="minorHAnsi"/>
        </w:rPr>
      </w:pPr>
      <w:r>
        <w:rPr>
          <w:rFonts w:eastAsia="sans-serif" w:asciiTheme="minorHAnsi" w:hAnsiTheme="minorHAnsi" w:cstheme="minorHAnsi"/>
        </w:rPr>
        <w:t xml:space="preserve">sposobnost savjetodavnog rada s odgojiteljima i roditeljima, </w:t>
      </w:r>
    </w:p>
    <w:p w14:paraId="6956BCF8">
      <w:pPr>
        <w:pStyle w:val="11"/>
        <w:numPr>
          <w:ilvl w:val="0"/>
          <w:numId w:val="4"/>
        </w:numPr>
        <w:spacing w:before="0" w:beforeAutospacing="0" w:line="276" w:lineRule="auto"/>
        <w:rPr>
          <w:rFonts w:eastAsia="sans-serif" w:asciiTheme="minorHAnsi" w:hAnsiTheme="minorHAnsi" w:cstheme="minorHAnsi"/>
        </w:rPr>
      </w:pPr>
      <w:r>
        <w:rPr>
          <w:rFonts w:eastAsia="sans-serif" w:asciiTheme="minorHAnsi" w:hAnsiTheme="minorHAnsi" w:cstheme="minorHAnsi"/>
        </w:rPr>
        <w:t xml:space="preserve">komunikacijske vještine, sposobnost timskog rada i vodstva, </w:t>
      </w:r>
    </w:p>
    <w:p w14:paraId="425A0C86">
      <w:pPr>
        <w:pStyle w:val="11"/>
        <w:numPr>
          <w:ilvl w:val="0"/>
          <w:numId w:val="4"/>
        </w:numPr>
        <w:spacing w:before="0" w:beforeAutospacing="0" w:line="276" w:lineRule="auto"/>
        <w:rPr>
          <w:rFonts w:eastAsia="sans-serif" w:asciiTheme="minorHAnsi" w:hAnsiTheme="minorHAnsi" w:cstheme="minorHAnsi"/>
        </w:rPr>
      </w:pPr>
      <w:r>
        <w:rPr>
          <w:rFonts w:eastAsia="sans-serif" w:asciiTheme="minorHAnsi" w:hAnsiTheme="minorHAnsi" w:cstheme="minorHAnsi"/>
        </w:rPr>
        <w:t xml:space="preserve">odgovornost, profesionalnost i etičnost u radu, </w:t>
      </w:r>
    </w:p>
    <w:p w14:paraId="65495CCD">
      <w:pPr>
        <w:pStyle w:val="11"/>
        <w:numPr>
          <w:ilvl w:val="0"/>
          <w:numId w:val="4"/>
        </w:numPr>
        <w:spacing w:before="0" w:beforeAutospacing="0" w:line="276" w:lineRule="auto"/>
        <w:rPr>
          <w:rFonts w:eastAsia="sans-serif" w:asciiTheme="minorHAnsi" w:hAnsiTheme="minorHAnsi" w:cstheme="minorHAnsi"/>
        </w:rPr>
      </w:pPr>
      <w:r>
        <w:rPr>
          <w:rFonts w:eastAsia="sans-serif" w:asciiTheme="minorHAnsi" w:hAnsiTheme="minorHAnsi" w:cstheme="minorHAnsi"/>
        </w:rPr>
        <w:t xml:space="preserve">spremnost na kontinuirani profesionalni razvoj i suradnju, </w:t>
      </w:r>
    </w:p>
    <w:p w14:paraId="06B70106">
      <w:pPr>
        <w:pStyle w:val="11"/>
        <w:numPr>
          <w:ilvl w:val="0"/>
          <w:numId w:val="4"/>
        </w:numPr>
        <w:spacing w:before="0" w:beforeAutospacing="0" w:line="276" w:lineRule="auto"/>
        <w:rPr>
          <w:rFonts w:eastAsia="sans-serif" w:asciiTheme="minorHAnsi" w:hAnsiTheme="minorHAnsi" w:cstheme="minorHAnsi"/>
        </w:rPr>
      </w:pPr>
      <w:r>
        <w:rPr>
          <w:rFonts w:eastAsia="sans-serif" w:asciiTheme="minorHAnsi" w:hAnsiTheme="minorHAnsi" w:cstheme="minorHAnsi"/>
        </w:rPr>
        <w:t xml:space="preserve">poznavanje suvremenih koncepcija ranog i predškolskog odgoja i obrazovanja, </w:t>
      </w:r>
    </w:p>
    <w:p w14:paraId="0F96EDC0">
      <w:pPr>
        <w:pStyle w:val="11"/>
        <w:numPr>
          <w:ilvl w:val="0"/>
          <w:numId w:val="4"/>
        </w:numPr>
        <w:spacing w:before="0" w:beforeAutospacing="0" w:line="276" w:lineRule="auto"/>
        <w:rPr>
          <w:rFonts w:eastAsia="sans-serif" w:asciiTheme="minorHAnsi" w:hAnsiTheme="minorHAnsi" w:cstheme="minorHAnsi"/>
        </w:rPr>
      </w:pPr>
      <w:r>
        <w:rPr>
          <w:rFonts w:eastAsia="sans-serif" w:asciiTheme="minorHAnsi" w:hAnsiTheme="minorHAnsi" w:cstheme="minorHAnsi"/>
        </w:rPr>
        <w:t xml:space="preserve">spremnost na rad u novom kolektivu i doprinos razvoju Dječjeg vrtića „Magnolija“. </w:t>
      </w:r>
    </w:p>
    <w:p w14:paraId="0F5F23B7">
      <w:pPr>
        <w:pStyle w:val="11"/>
        <w:spacing w:before="0" w:beforeAutospacing="0" w:line="276" w:lineRule="auto"/>
        <w:ind w:firstLine="360"/>
        <w:jc w:val="both"/>
        <w:rPr>
          <w:rFonts w:eastAsia="sans-serif" w:asciiTheme="minorHAnsi" w:hAnsiTheme="minorHAnsi" w:cstheme="minorHAnsi"/>
        </w:rPr>
      </w:pPr>
      <w:r>
        <w:rPr>
          <w:rFonts w:eastAsia="sans-serif" w:asciiTheme="minorHAnsi" w:hAnsiTheme="minorHAnsi" w:cstheme="minorHAnsi"/>
        </w:rPr>
        <w:t xml:space="preserve">Povjerenstvo je nakon provedenog razgovora razmotrilo rezultate intervjua, stručne kvalifikacije, dosadašnje iskustvo, iskazanu motivaciju kandidatkinje te potrebe Dječjeg vrtića “Magnolija”. </w:t>
      </w:r>
    </w:p>
    <w:p w14:paraId="613DC358">
      <w:pPr>
        <w:pStyle w:val="11"/>
        <w:numPr>
          <w:ilvl w:val="0"/>
          <w:numId w:val="3"/>
        </w:numPr>
        <w:spacing w:before="0" w:beforeAutospacing="0" w:line="276" w:lineRule="auto"/>
        <w:jc w:val="both"/>
        <w:rPr>
          <w:rFonts w:eastAsia="sans-serif" w:asciiTheme="minorHAnsi" w:hAnsiTheme="minorHAnsi" w:cstheme="minorHAnsi"/>
        </w:rPr>
      </w:pPr>
      <w:r>
        <w:rPr>
          <w:rFonts w:eastAsia="sans-serif" w:asciiTheme="minorHAnsi" w:hAnsiTheme="minorHAnsi" w:cstheme="minorHAnsi"/>
          <w:b/>
          <w:bCs/>
        </w:rPr>
        <w:t>Rezultati postupka</w:t>
      </w:r>
    </w:p>
    <w:p w14:paraId="3539E82D">
      <w:pPr>
        <w:pStyle w:val="11"/>
        <w:spacing w:before="0" w:beforeAutospacing="0" w:line="276" w:lineRule="auto"/>
        <w:ind w:firstLine="360"/>
        <w:jc w:val="both"/>
        <w:rPr>
          <w:rFonts w:eastAsia="sans-serif" w:asciiTheme="minorHAnsi" w:hAnsiTheme="minorHAnsi" w:cstheme="minorHAnsi"/>
        </w:rPr>
      </w:pPr>
      <w:r>
        <w:rPr>
          <w:rFonts w:eastAsia="sans-serif" w:asciiTheme="minorHAnsi" w:hAnsiTheme="minorHAnsi" w:cstheme="minorHAnsi"/>
        </w:rPr>
        <w:t xml:space="preserve">Nakon provedenog postupka Povjerenstvo je utvrdilo da kandidatkinja u potpunosti zadovoljava sve stručne i profesionalne kriterije te posjeduje potrebne kompetencije za kvalitetno obavljanje poslova radnog mjesta pedagoga. </w:t>
      </w:r>
    </w:p>
    <w:p w14:paraId="6B8E2B7A">
      <w:pPr>
        <w:pStyle w:val="11"/>
        <w:numPr>
          <w:ilvl w:val="0"/>
          <w:numId w:val="3"/>
        </w:numPr>
        <w:spacing w:before="0" w:beforeAutospacing="0" w:line="276" w:lineRule="auto"/>
        <w:jc w:val="both"/>
        <w:rPr>
          <w:rFonts w:eastAsia="sans-serif" w:asciiTheme="minorHAnsi" w:hAnsiTheme="minorHAnsi" w:cstheme="minorHAnsi"/>
        </w:rPr>
      </w:pPr>
      <w:r>
        <w:rPr>
          <w:rFonts w:eastAsia="sans-serif" w:asciiTheme="minorHAnsi" w:hAnsiTheme="minorHAnsi" w:cstheme="minorHAnsi"/>
          <w:b/>
          <w:bCs/>
        </w:rPr>
        <w:t>Zaključak Povjerenstva</w:t>
      </w:r>
    </w:p>
    <w:p w14:paraId="6A4FFE6A">
      <w:pPr>
        <w:pStyle w:val="11"/>
        <w:spacing w:before="0" w:beforeAutospacing="0" w:line="276" w:lineRule="auto"/>
        <w:ind w:firstLine="708"/>
        <w:jc w:val="both"/>
        <w:rPr>
          <w:rFonts w:eastAsia="sans-serif" w:asciiTheme="minorHAnsi" w:hAnsiTheme="minorHAnsi" w:cstheme="minorHAnsi"/>
        </w:rPr>
      </w:pPr>
      <w:r>
        <w:rPr>
          <w:rFonts w:eastAsia="sans-serif" w:asciiTheme="minorHAnsi" w:hAnsiTheme="minorHAnsi" w:cstheme="minorHAnsi"/>
        </w:rPr>
        <w:t xml:space="preserve">Na temelju provedenog postupka, pregleda zaprimljene dokumentacije i provedenog intervjua, Povjerenstvo predlaže ravnateljici Dječjeg vrtića „Magnolija“ da se, sukladno važećim propisima i potrebama ustanove, za radno mjesto pedagoga odabere kandidatkinja: </w:t>
      </w:r>
    </w:p>
    <w:p w14:paraId="63A55876">
      <w:pPr>
        <w:pStyle w:val="14"/>
        <w:numPr>
          <w:ilvl w:val="0"/>
          <w:numId w:val="5"/>
        </w:numPr>
        <w:tabs>
          <w:tab w:val="left" w:pos="720"/>
        </w:tabs>
        <w:spacing w:after="0" w:afterAutospacing="1" w:line="276" w:lineRule="auto"/>
        <w:jc w:val="both"/>
        <w:rPr>
          <w:rFonts w:eastAsia="sans-serif" w:cstheme="minorHAnsi"/>
          <w:b/>
          <w:sz w:val="24"/>
          <w:szCs w:val="24"/>
        </w:rPr>
      </w:pPr>
      <w:r>
        <w:rPr>
          <w:rFonts w:eastAsia="sans-serif" w:cstheme="minorHAnsi"/>
          <w:b/>
          <w:sz w:val="24"/>
          <w:szCs w:val="24"/>
        </w:rPr>
        <w:t>Vana Rogina</w:t>
      </w:r>
    </w:p>
    <w:p w14:paraId="13A0E4CF">
      <w:pPr>
        <w:pStyle w:val="11"/>
        <w:spacing w:before="0" w:beforeAutospacing="0" w:line="276" w:lineRule="auto"/>
        <w:ind w:firstLine="360"/>
        <w:jc w:val="both"/>
        <w:rPr>
          <w:rFonts w:eastAsia="sans-serif" w:asciiTheme="minorHAnsi" w:hAnsiTheme="minorHAnsi" w:cstheme="minorHAnsi"/>
        </w:rPr>
      </w:pPr>
      <w:r>
        <w:rPr>
          <w:rFonts w:eastAsia="sans-serif" w:asciiTheme="minorHAnsi" w:hAnsiTheme="minorHAnsi" w:cstheme="minorHAnsi"/>
        </w:rPr>
        <w:t xml:space="preserve">Povjerenstvo smatra da navedena kandidatkinja, prema rezultatima provedenog postupka, svojim obrazovanjem, motivacijom, osobnim i stručnim kompetencijama te iskazanim interesom za rad u području ranog i predškolskog odgoja i obrazovanja predstavlja u potpunosti odgovarajući izbor za potrebe Dječjeg vrtića „Magnolija“. </w:t>
      </w:r>
    </w:p>
    <w:p w14:paraId="2219CF13">
      <w:pPr>
        <w:pStyle w:val="11"/>
        <w:spacing w:before="0" w:beforeAutospacing="0" w:line="276" w:lineRule="auto"/>
        <w:ind w:firstLine="360"/>
        <w:jc w:val="both"/>
        <w:rPr>
          <w:rFonts w:eastAsia="sans-serif" w:asciiTheme="minorHAnsi" w:hAnsiTheme="minorHAnsi" w:cstheme="minorHAnsi"/>
        </w:rPr>
      </w:pPr>
      <w:r>
        <w:rPr>
          <w:rFonts w:eastAsia="sans-serif" w:asciiTheme="minorHAnsi" w:hAnsiTheme="minorHAnsi" w:cstheme="minorHAnsi"/>
        </w:rPr>
        <w:t xml:space="preserve">Ovo Izvješće sastavljeno je na temelju provedene dokumentacijske provjere i rezultata intervjua te se dostavlja ravnateljici Dječjeg vrtića „Magnolija“ radi donošenja odluke o izboru kandidata. </w:t>
      </w:r>
      <w:bookmarkStart w:id="0" w:name="_GoBack"/>
      <w:bookmarkEnd w:id="0"/>
    </w:p>
    <w:p w14:paraId="768BF6FC">
      <w:pPr>
        <w:pStyle w:val="11"/>
        <w:spacing w:before="0" w:beforeAutospacing="0" w:line="276" w:lineRule="auto"/>
        <w:ind w:firstLine="360"/>
        <w:jc w:val="both"/>
        <w:rPr>
          <w:rFonts w:eastAsia="sans-serif" w:asciiTheme="minorHAnsi" w:hAnsiTheme="minorHAnsi" w:cstheme="minorHAnsi"/>
        </w:rPr>
      </w:pPr>
    </w:p>
    <w:p w14:paraId="099D7CD1">
      <w:pPr>
        <w:spacing w:line="273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Povjerenstvo za provedbu natječaja:</w:t>
      </w:r>
    </w:p>
    <w:p w14:paraId="6E837225">
      <w:pPr>
        <w:spacing w:line="273" w:lineRule="auto"/>
        <w:jc w:val="both"/>
        <w:rPr>
          <w:rFonts w:cs="Calibri"/>
          <w:b/>
          <w:sz w:val="24"/>
          <w:szCs w:val="24"/>
          <w:lang w:eastAsia="hr-HR"/>
        </w:rPr>
      </w:pPr>
      <w:r>
        <w:drawing>
          <wp:inline distT="0" distB="0" distL="114300" distR="114300">
            <wp:extent cx="2613025" cy="897890"/>
            <wp:effectExtent l="0" t="0" r="15875" b="165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7"/>
                    <a:srcRect l="4882" t="1819" r="21813" b="-116"/>
                    <a:stretch>
                      <a:fillRect/>
                    </a:stretch>
                  </pic:blipFill>
                  <pic:spPr>
                    <a:xfrm>
                      <a:off x="0" y="0"/>
                      <a:ext cx="2613025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0E297">
      <w:pPr>
        <w:spacing w:line="273" w:lineRule="auto"/>
        <w:ind w:left="4956" w:firstLine="708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Predsjednica Povjerenstva:</w:t>
      </w:r>
    </w:p>
    <w:p w14:paraId="6285ED90">
      <w:pPr>
        <w:spacing w:line="273" w:lineRule="auto"/>
        <w:jc w:val="right"/>
        <w:rPr>
          <w:rFonts w:cs="Calibri"/>
          <w:sz w:val="24"/>
          <w:szCs w:val="24"/>
        </w:rPr>
      </w:pPr>
      <w:r>
        <w:drawing>
          <wp:inline distT="0" distB="0" distL="114300" distR="114300">
            <wp:extent cx="2552065" cy="475615"/>
            <wp:effectExtent l="0" t="0" r="63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52065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Calibri"/>
          <w:sz w:val="24"/>
          <w:szCs w:val="24"/>
        </w:rPr>
        <w:t xml:space="preserve"> </w:t>
      </w:r>
    </w:p>
    <w:p w14:paraId="68C4E83D">
      <w:pPr>
        <w:spacing w:line="273" w:lineRule="auto"/>
        <w:ind w:left="4956" w:firstLine="708"/>
        <w:jc w:val="center"/>
        <w:rPr>
          <w:rFonts w:cstheme="minorHAnsi"/>
          <w:sz w:val="24"/>
          <w:szCs w:val="24"/>
        </w:rPr>
      </w:pPr>
      <w:r>
        <w:rPr>
          <w:rFonts w:cs="Calibri"/>
          <w:sz w:val="24"/>
          <w:szCs w:val="24"/>
        </w:rPr>
        <w:t>Ana Čančar</w:t>
      </w:r>
    </w:p>
    <w:sectPr>
      <w:footerReference r:id="rId5" w:type="default"/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itka Text">
    <w:panose1 w:val="00000000000000000000"/>
    <w:charset w:val="EE"/>
    <w:family w:val="auto"/>
    <w:pitch w:val="default"/>
    <w:sig w:usb0="A00002EF" w:usb1="4000204B" w:usb2="00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782292"/>
    </w:sdtPr>
    <w:sdtContent>
      <w:p w14:paraId="2EE2F6DF">
        <w:pPr>
          <w:pStyle w:val="9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E2E25A">
    <w:pPr>
      <w:pStyle w:val="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EB0A8C"/>
    <w:multiLevelType w:val="multilevel"/>
    <w:tmpl w:val="15EB0A8C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DB6AB0"/>
    <w:multiLevelType w:val="multilevel"/>
    <w:tmpl w:val="59DB6AB0"/>
    <w:lvl w:ilvl="0" w:tentative="0">
      <w:start w:val="1"/>
      <w:numFmt w:val="decimal"/>
      <w:pStyle w:val="24"/>
      <w:suff w:val="space"/>
      <w:lvlText w:val="Članak %1."/>
      <w:lvlJc w:val="left"/>
      <w:pPr>
        <w:ind w:left="0" w:firstLine="0"/>
      </w:pPr>
    </w:lvl>
    <w:lvl w:ilvl="1" w:tentative="0">
      <w:start w:val="1"/>
      <w:numFmt w:val="decimal"/>
      <w:pStyle w:val="22"/>
      <w:suff w:val="space"/>
      <w:lvlText w:val="(%2)"/>
      <w:lvlJc w:val="left"/>
      <w:pPr>
        <w:ind w:left="680" w:hanging="320"/>
      </w:pPr>
      <w:rPr>
        <w:rFonts w:hint="default"/>
        <w:b w:val="0"/>
        <w:bCs w:val="0"/>
      </w:rPr>
    </w:lvl>
    <w:lvl w:ilvl="2" w:tentative="0">
      <w:start w:val="1"/>
      <w:numFmt w:val="none"/>
      <w:lvlText w:val="%3"/>
      <w:lvlJc w:val="left"/>
      <w:pPr>
        <w:ind w:left="0" w:firstLine="340"/>
      </w:pPr>
      <w:rPr>
        <w:rFonts w:hint="default"/>
      </w:rPr>
    </w:lvl>
    <w:lvl w:ilvl="3" w:tentative="0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entative="0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entative="0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5A03641E"/>
    <w:multiLevelType w:val="multilevel"/>
    <w:tmpl w:val="5A03641E"/>
    <w:lvl w:ilvl="0" w:tentative="0">
      <w:start w:val="1"/>
      <w:numFmt w:val="upperRoman"/>
      <w:pStyle w:val="19"/>
      <w:lvlText w:val="%1."/>
      <w:lvlJc w:val="right"/>
      <w:pPr>
        <w:ind w:left="720" w:hanging="360"/>
      </w:pPr>
      <w:rPr>
        <w:b/>
        <w:bCs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B60CF6"/>
    <w:multiLevelType w:val="multilevel"/>
    <w:tmpl w:val="5BB60CF6"/>
    <w:lvl w:ilvl="0" w:tentative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6B7112"/>
    <w:multiLevelType w:val="multilevel"/>
    <w:tmpl w:val="626B7112"/>
    <w:lvl w:ilvl="0" w:tentative="0">
      <w:start w:val="1"/>
      <w:numFmt w:val="bullet"/>
      <w:lvlText w:val="-"/>
      <w:lvlJc w:val="left"/>
      <w:pPr>
        <w:ind w:left="720" w:hanging="360"/>
      </w:pPr>
      <w:rPr>
        <w:rFonts w:hint="default" w:ascii="Sitka Text" w:hAnsi="Sitka Text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attachedTemplate r:id="rId1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FFC"/>
    <w:rsid w:val="00042A93"/>
    <w:rsid w:val="000A042E"/>
    <w:rsid w:val="000F50D6"/>
    <w:rsid w:val="000F7863"/>
    <w:rsid w:val="0015506A"/>
    <w:rsid w:val="001572F5"/>
    <w:rsid w:val="0016785B"/>
    <w:rsid w:val="00171423"/>
    <w:rsid w:val="00181185"/>
    <w:rsid w:val="00194B9B"/>
    <w:rsid w:val="001A2838"/>
    <w:rsid w:val="001A3F17"/>
    <w:rsid w:val="001A7F48"/>
    <w:rsid w:val="00265701"/>
    <w:rsid w:val="0027700A"/>
    <w:rsid w:val="00277AB0"/>
    <w:rsid w:val="002B3DE5"/>
    <w:rsid w:val="002E3D37"/>
    <w:rsid w:val="0031708B"/>
    <w:rsid w:val="0033372F"/>
    <w:rsid w:val="003437BA"/>
    <w:rsid w:val="003731D7"/>
    <w:rsid w:val="00391B16"/>
    <w:rsid w:val="003C1D2E"/>
    <w:rsid w:val="003C1DD5"/>
    <w:rsid w:val="003D1769"/>
    <w:rsid w:val="003E5DA5"/>
    <w:rsid w:val="00436D16"/>
    <w:rsid w:val="004634A0"/>
    <w:rsid w:val="00482EE2"/>
    <w:rsid w:val="0048608B"/>
    <w:rsid w:val="004A5F15"/>
    <w:rsid w:val="004E0C7B"/>
    <w:rsid w:val="005349C7"/>
    <w:rsid w:val="00561CCF"/>
    <w:rsid w:val="0056461A"/>
    <w:rsid w:val="00585D9C"/>
    <w:rsid w:val="00586A1D"/>
    <w:rsid w:val="005B09DA"/>
    <w:rsid w:val="005B4EA1"/>
    <w:rsid w:val="005C5822"/>
    <w:rsid w:val="005D4F69"/>
    <w:rsid w:val="005F798A"/>
    <w:rsid w:val="00600A57"/>
    <w:rsid w:val="0068550A"/>
    <w:rsid w:val="006E0F1A"/>
    <w:rsid w:val="0070389F"/>
    <w:rsid w:val="00740101"/>
    <w:rsid w:val="00750EAA"/>
    <w:rsid w:val="00784DDD"/>
    <w:rsid w:val="007946CB"/>
    <w:rsid w:val="007B4389"/>
    <w:rsid w:val="00826126"/>
    <w:rsid w:val="00886CD9"/>
    <w:rsid w:val="008D61F3"/>
    <w:rsid w:val="008F5D76"/>
    <w:rsid w:val="0091662F"/>
    <w:rsid w:val="0093782F"/>
    <w:rsid w:val="00970437"/>
    <w:rsid w:val="0098613D"/>
    <w:rsid w:val="00A13A2C"/>
    <w:rsid w:val="00A772EC"/>
    <w:rsid w:val="00A90C72"/>
    <w:rsid w:val="00B465FE"/>
    <w:rsid w:val="00B63F0D"/>
    <w:rsid w:val="00B95570"/>
    <w:rsid w:val="00BA21FD"/>
    <w:rsid w:val="00BA7563"/>
    <w:rsid w:val="00C20063"/>
    <w:rsid w:val="00C50867"/>
    <w:rsid w:val="00C530A2"/>
    <w:rsid w:val="00C82D03"/>
    <w:rsid w:val="00CA0220"/>
    <w:rsid w:val="00CB3C0F"/>
    <w:rsid w:val="00CF1075"/>
    <w:rsid w:val="00D106BA"/>
    <w:rsid w:val="00D340C6"/>
    <w:rsid w:val="00D8177B"/>
    <w:rsid w:val="00D81CE3"/>
    <w:rsid w:val="00D958C4"/>
    <w:rsid w:val="00DC221D"/>
    <w:rsid w:val="00DD2B47"/>
    <w:rsid w:val="00DD5B4B"/>
    <w:rsid w:val="00DE7714"/>
    <w:rsid w:val="00DF51A1"/>
    <w:rsid w:val="00E22B85"/>
    <w:rsid w:val="00E4691B"/>
    <w:rsid w:val="00E71088"/>
    <w:rsid w:val="00E728C6"/>
    <w:rsid w:val="00E850FF"/>
    <w:rsid w:val="00E92FFC"/>
    <w:rsid w:val="00EC6D09"/>
    <w:rsid w:val="00F07211"/>
    <w:rsid w:val="00F35E59"/>
    <w:rsid w:val="00F729FB"/>
    <w:rsid w:val="00F863C1"/>
    <w:rsid w:val="00FD3301"/>
    <w:rsid w:val="063D1219"/>
    <w:rsid w:val="06713B9F"/>
    <w:rsid w:val="0DA1776A"/>
    <w:rsid w:val="1348190D"/>
    <w:rsid w:val="15292865"/>
    <w:rsid w:val="1DFC71C9"/>
    <w:rsid w:val="3A4B1FDF"/>
    <w:rsid w:val="403C2846"/>
    <w:rsid w:val="468268A7"/>
    <w:rsid w:val="58406D89"/>
    <w:rsid w:val="681D07FC"/>
    <w:rsid w:val="695F3E35"/>
    <w:rsid w:val="72B67CD7"/>
    <w:rsid w:val="7393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hr-HR" w:eastAsia="en-US" w:bidi="ar-SA"/>
      <w14:ligatures w14:val="standardContextual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3">
    <w:name w:val="heading 3"/>
    <w:next w:val="1"/>
    <w:semiHidden/>
    <w:unhideWhenUsed/>
    <w:qFormat/>
    <w:uiPriority w:val="9"/>
    <w:pPr>
      <w:spacing w:beforeAutospacing="1" w:afterAutospacing="1"/>
      <w:outlineLvl w:val="2"/>
    </w:pPr>
    <w:rPr>
      <w:rFonts w:hint="eastAsia" w:ascii="SimSun" w:hAnsi="SimSun" w:eastAsia="SimSun" w:cs="Times New Roman"/>
      <w:b/>
      <w:bCs/>
      <w:sz w:val="26"/>
      <w:szCs w:val="26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annotation reference"/>
    <w:basedOn w:val="4"/>
    <w:semiHidden/>
    <w:unhideWhenUsed/>
    <w:qFormat/>
    <w:uiPriority w:val="99"/>
    <w:rPr>
      <w:sz w:val="16"/>
      <w:szCs w:val="16"/>
    </w:rPr>
  </w:style>
  <w:style w:type="paragraph" w:styleId="7">
    <w:name w:val="annotation text"/>
    <w:basedOn w:val="1"/>
    <w:link w:val="17"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8">
    <w:name w:val="annotation subject"/>
    <w:basedOn w:val="7"/>
    <w:next w:val="7"/>
    <w:link w:val="18"/>
    <w:semiHidden/>
    <w:unhideWhenUsed/>
    <w:qFormat/>
    <w:uiPriority w:val="99"/>
    <w:rPr>
      <w:b/>
      <w:bCs/>
    </w:rPr>
  </w:style>
  <w:style w:type="paragraph" w:styleId="9">
    <w:name w:val="footer"/>
    <w:basedOn w:val="1"/>
    <w:link w:val="16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10">
    <w:name w:val="header"/>
    <w:basedOn w:val="1"/>
    <w:link w:val="15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11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hr-HR"/>
      <w14:ligatures w14:val="none"/>
    </w:rPr>
  </w:style>
  <w:style w:type="character" w:styleId="12">
    <w:name w:val="Strong"/>
    <w:basedOn w:val="4"/>
    <w:qFormat/>
    <w:uiPriority w:val="22"/>
    <w:rPr>
      <w:b/>
      <w:bCs/>
    </w:rPr>
  </w:style>
  <w:style w:type="table" w:styleId="13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4">
    <w:name w:val="List Paragraph"/>
    <w:basedOn w:val="1"/>
    <w:link w:val="20"/>
    <w:qFormat/>
    <w:uiPriority w:val="34"/>
    <w:pPr>
      <w:ind w:left="720"/>
      <w:contextualSpacing/>
    </w:pPr>
  </w:style>
  <w:style w:type="character" w:customStyle="1" w:styleId="15">
    <w:name w:val="Zaglavlje Char"/>
    <w:basedOn w:val="4"/>
    <w:link w:val="10"/>
    <w:qFormat/>
    <w:uiPriority w:val="99"/>
    <w:rPr>
      <w:kern w:val="2"/>
      <w14:ligatures w14:val="standardContextual"/>
    </w:rPr>
  </w:style>
  <w:style w:type="character" w:customStyle="1" w:styleId="16">
    <w:name w:val="Podnožje Char"/>
    <w:basedOn w:val="4"/>
    <w:link w:val="9"/>
    <w:qFormat/>
    <w:uiPriority w:val="99"/>
    <w:rPr>
      <w:kern w:val="2"/>
      <w14:ligatures w14:val="standardContextual"/>
    </w:rPr>
  </w:style>
  <w:style w:type="character" w:customStyle="1" w:styleId="17">
    <w:name w:val="Tekst komentara Char"/>
    <w:basedOn w:val="4"/>
    <w:link w:val="7"/>
    <w:qFormat/>
    <w:uiPriority w:val="99"/>
    <w:rPr>
      <w:kern w:val="2"/>
      <w:sz w:val="20"/>
      <w:szCs w:val="20"/>
      <w14:ligatures w14:val="standardContextual"/>
    </w:rPr>
  </w:style>
  <w:style w:type="character" w:customStyle="1" w:styleId="18">
    <w:name w:val="Predmet komentara Char"/>
    <w:basedOn w:val="17"/>
    <w:link w:val="8"/>
    <w:semiHidden/>
    <w:qFormat/>
    <w:uiPriority w:val="99"/>
    <w:rPr>
      <w:b/>
      <w:bCs/>
      <w:kern w:val="2"/>
      <w:sz w:val="20"/>
      <w:szCs w:val="20"/>
      <w14:ligatures w14:val="standardContextual"/>
    </w:rPr>
  </w:style>
  <w:style w:type="paragraph" w:customStyle="1" w:styleId="19">
    <w:name w:val="Glava"/>
    <w:basedOn w:val="14"/>
    <w:link w:val="21"/>
    <w:qFormat/>
    <w:uiPriority w:val="0"/>
    <w:pPr>
      <w:numPr>
        <w:ilvl w:val="0"/>
        <w:numId w:val="1"/>
      </w:numPr>
      <w:spacing w:before="240" w:after="240" w:line="360" w:lineRule="auto"/>
      <w:ind w:left="0" w:firstLine="0"/>
      <w:jc w:val="center"/>
      <w:outlineLvl w:val="1"/>
    </w:pPr>
    <w:rPr>
      <w:rFonts w:cstheme="minorHAnsi"/>
      <w:b/>
      <w:bCs/>
      <w:sz w:val="24"/>
      <w:szCs w:val="24"/>
    </w:rPr>
  </w:style>
  <w:style w:type="character" w:customStyle="1" w:styleId="20">
    <w:name w:val="Odlomak popisa Char"/>
    <w:basedOn w:val="4"/>
    <w:link w:val="14"/>
    <w:qFormat/>
    <w:uiPriority w:val="34"/>
    <w:rPr>
      <w:kern w:val="2"/>
      <w14:ligatures w14:val="standardContextual"/>
    </w:rPr>
  </w:style>
  <w:style w:type="character" w:customStyle="1" w:styleId="21">
    <w:name w:val="Glava Char"/>
    <w:basedOn w:val="20"/>
    <w:link w:val="19"/>
    <w:qFormat/>
    <w:uiPriority w:val="0"/>
    <w:rPr>
      <w:rFonts w:cstheme="minorHAnsi"/>
      <w:b/>
      <w:bCs/>
      <w:kern w:val="2"/>
      <w:sz w:val="24"/>
      <w:szCs w:val="24"/>
      <w14:ligatures w14:val="standardContextual"/>
    </w:rPr>
  </w:style>
  <w:style w:type="paragraph" w:customStyle="1" w:styleId="22">
    <w:name w:val="Stavak"/>
    <w:basedOn w:val="14"/>
    <w:link w:val="23"/>
    <w:qFormat/>
    <w:uiPriority w:val="0"/>
    <w:pPr>
      <w:numPr>
        <w:ilvl w:val="1"/>
        <w:numId w:val="2"/>
      </w:numPr>
      <w:spacing w:before="120" w:after="0"/>
      <w:ind w:left="0" w:firstLine="227"/>
      <w:jc w:val="both"/>
      <w:outlineLvl w:val="3"/>
    </w:pPr>
    <w:rPr>
      <w:rFonts w:cstheme="minorHAnsi"/>
      <w:sz w:val="24"/>
      <w:szCs w:val="24"/>
    </w:rPr>
  </w:style>
  <w:style w:type="character" w:customStyle="1" w:styleId="23">
    <w:name w:val="Stavak Char"/>
    <w:basedOn w:val="20"/>
    <w:link w:val="22"/>
    <w:qFormat/>
    <w:uiPriority w:val="0"/>
    <w:rPr>
      <w:rFonts w:cstheme="minorHAnsi"/>
      <w:kern w:val="2"/>
      <w:sz w:val="24"/>
      <w:szCs w:val="24"/>
      <w14:ligatures w14:val="standardContextual"/>
    </w:rPr>
  </w:style>
  <w:style w:type="paragraph" w:customStyle="1" w:styleId="24">
    <w:name w:val="Članak X"/>
    <w:basedOn w:val="14"/>
    <w:link w:val="25"/>
    <w:qFormat/>
    <w:uiPriority w:val="0"/>
    <w:pPr>
      <w:numPr>
        <w:ilvl w:val="0"/>
        <w:numId w:val="2"/>
      </w:numPr>
      <w:spacing w:before="240" w:after="120"/>
      <w:jc w:val="center"/>
      <w:outlineLvl w:val="2"/>
    </w:pPr>
    <w:rPr>
      <w:rFonts w:cstheme="minorHAnsi"/>
      <w:b/>
      <w:bCs/>
      <w:sz w:val="24"/>
      <w:szCs w:val="24"/>
    </w:rPr>
  </w:style>
  <w:style w:type="character" w:customStyle="1" w:styleId="25">
    <w:name w:val="Članak X Char"/>
    <w:basedOn w:val="20"/>
    <w:link w:val="24"/>
    <w:qFormat/>
    <w:uiPriority w:val="0"/>
    <w:rPr>
      <w:rFonts w:cstheme="minorHAnsi"/>
      <w:b/>
      <w:bCs/>
      <w:kern w:val="2"/>
      <w:sz w:val="24"/>
      <w:szCs w:val="24"/>
      <w14:ligatures w14:val="standardContextual"/>
    </w:rPr>
  </w:style>
  <w:style w:type="character" w:customStyle="1" w:styleId="26">
    <w:name w:val="Naslov 1 Char"/>
    <w:basedOn w:val="4"/>
    <w:link w:val="2"/>
    <w:qFormat/>
    <w:uiPriority w:val="9"/>
    <w:rPr>
      <w:rFonts w:eastAsiaTheme="majorEastAsia" w:cstheme="majorBidi"/>
      <w:b/>
      <w:kern w:val="2"/>
      <w:sz w:val="28"/>
      <w:szCs w:val="32"/>
      <w14:ligatures w14:val="standardContextual"/>
    </w:rPr>
  </w:style>
  <w:style w:type="character" w:customStyle="1" w:styleId="27">
    <w:name w:val="Naslov 3 Char"/>
    <w:qFormat/>
    <w:uiPriority w:val="0"/>
    <w:rPr>
      <w:rFonts w:hint="eastAsia" w:ascii="SimSun" w:hAnsi="SimSun" w:eastAsia="SimSun" w:cs="SimSun"/>
      <w:b/>
      <w:bCs/>
      <w:sz w:val="26"/>
      <w:szCs w:val="26"/>
      <w:lang w:val="en-US" w:eastAsia="zh-CN"/>
    </w:rPr>
  </w:style>
  <w:style w:type="table" w:customStyle="1" w:styleId="28">
    <w:name w:val="Obična tablica1"/>
    <w:semiHidden/>
    <w:qFormat/>
    <w:uiPriority w:val="0"/>
    <w:tblPr>
      <w:tblCellMar>
        <w:top w:w="0" w:type="dxa"/>
        <w:left w:w="100" w:type="dxa"/>
        <w:bottom w:w="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sna\Downloads\DV%20Magnolija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DV Magnolija_template</Template>
  <Pages>2</Pages>
  <Words>390</Words>
  <Characters>2753</Characters>
  <Lines>24</Lines>
  <Paragraphs>6</Paragraphs>
  <TotalTime>0</TotalTime>
  <ScaleCrop>false</ScaleCrop>
  <LinksUpToDate>false</LinksUpToDate>
  <CharactersWithSpaces>3130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2026-08-11T14:21:00Z</dcterms:created>
  <dc:creator>jasna barić</dc:creator>
  <cp:lastModifiedBy>Matija Ladić</cp:lastModifiedBy>
  <cp:lastPrinted>2026-08-17T06:14:00Z</cp:lastPrinted>
  <dcterms:modified xsi:type="dcterms:W3CDTF">2026-08-18T08:34:30Z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eyJoZGlkIjoiYmQyNDQ2NzE4YmRkZjhlNjljMjllYzFlZDZkMzI4MGMiLCJ1c2VySWQiOiIzNzI4NDUxMzUwODkwIn0=</vt:lpwstr>
  </property>
  <property fmtid="{D5CDD505-2E9C-101B-9397-08002B2CF9AE}" pid="3" name="KSOProductBuildVer">
    <vt:lpwstr>1033-12.1.0.28032</vt:lpwstr>
  </property>
  <property fmtid="{D5CDD505-2E9C-101B-9397-08002B2CF9AE}" pid="4" name="ICV">
    <vt:lpwstr>99D40A9F315E494EB9C83A9E0228612F_12</vt:lpwstr>
  </property>
</Properties>
</file>