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9FEBA">
      <w:pPr>
        <w:spacing w:after="0" w:line="276" w:lineRule="auto"/>
        <w:rPr>
          <w:rFonts w:ascii="Calibri" w:hAnsi="Calibri" w:eastAsia="Times New Roman" w:cs="Calibri"/>
          <w:kern w:val="0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85B23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24FD1CEB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1D4B16A0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64AFB4E4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43BB7495">
      <w:pPr>
        <w:spacing w:after="0" w:line="276" w:lineRule="auto"/>
        <w:jc w:val="both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B3AB79B">
      <w:pPr>
        <w:spacing w:after="0" w:line="276" w:lineRule="auto"/>
        <w:jc w:val="both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</w:p>
    <w:p w14:paraId="16A2A6E7">
      <w:pPr>
        <w:spacing w:after="0" w:line="276" w:lineRule="auto"/>
        <w:jc w:val="both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Calibri" w:cstheme="minorHAnsi"/>
          <w:kern w:val="0"/>
          <w:sz w:val="24"/>
          <w:szCs w:val="24"/>
          <w:lang w:eastAsia="hr-HR"/>
          <w14:ligatures w14:val="none"/>
        </w:rPr>
        <w:t>Na temelju članka 35. Zakona o predškolskom odgoju i obrazovanju („Narodne novine“ br. 10/97, 107/07, 94/13, 98/19, 57/22, 101/23, 145/23, 145/24, 146/25, 22/26), članka 19. Statuta Dječjeg vrtića „Magnolija" (KLASA: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eastAsia="Calibri" w:cstheme="minorHAnsi"/>
          <w:kern w:val="0"/>
          <w:sz w:val="24"/>
          <w:szCs w:val="24"/>
          <w:lang w:eastAsia="hr-HR"/>
          <w14:ligatures w14:val="none"/>
        </w:rPr>
        <w:t>601-01/26-01/05; UR. BROJ: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eastAsia="Calibri" w:cstheme="minorHAnsi"/>
          <w:kern w:val="0"/>
          <w:sz w:val="24"/>
          <w:szCs w:val="24"/>
          <w:lang w:eastAsia="hr-HR"/>
          <w14:ligatures w14:val="none"/>
        </w:rPr>
        <w:t xml:space="preserve">2109-26-06-26-06 od 16. travnja 2026. godine) i članka 6. Pravilnika o upisu djece i ostvarivanju prava i obveza korisnika usluga u Dječjem vrtiću „Magnolija“, Upravno vijeće Dječjeg vrtića „Magnolija" je na 5. sjednici održanoj </w:t>
      </w:r>
      <w:r>
        <w:rPr>
          <w:rFonts w:eastAsia="Calibri" w:cstheme="minorHAnsi"/>
          <w:kern w:val="0"/>
          <w:sz w:val="24"/>
          <w:szCs w:val="24"/>
          <w:highlight w:val="none"/>
          <w:lang w:eastAsia="hr-HR"/>
          <w14:ligatures w14:val="none"/>
        </w:rPr>
        <w:t xml:space="preserve">17. kolovoza 2026. godine </w:t>
      </w:r>
      <w:r>
        <w:rPr>
          <w:rFonts w:eastAsia="Calibri" w:cstheme="minorHAnsi"/>
          <w:kern w:val="0"/>
          <w:sz w:val="24"/>
          <w:szCs w:val="24"/>
          <w:lang w:eastAsia="hr-HR"/>
          <w14:ligatures w14:val="none"/>
        </w:rPr>
        <w:t>donijelo</w:t>
      </w:r>
    </w:p>
    <w:p w14:paraId="78E9AD7A">
      <w:pPr>
        <w:spacing w:after="0" w:line="276" w:lineRule="auto"/>
        <w:jc w:val="both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</w:p>
    <w:p w14:paraId="65EADE82">
      <w:pPr>
        <w:spacing w:after="0" w:line="276" w:lineRule="auto"/>
        <w:jc w:val="both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</w:p>
    <w:p w14:paraId="37B11F0D">
      <w:pPr>
        <w:keepNext/>
        <w:keepLines/>
        <w:spacing w:before="240" w:beforeAutospacing="1" w:after="0" w:afterAutospacing="1" w:line="276" w:lineRule="auto"/>
        <w:jc w:val="center"/>
        <w:outlineLvl w:val="0"/>
        <w:rPr>
          <w:rFonts w:eastAsia="Calibri" w:cstheme="minorHAnsi"/>
          <w:b/>
          <w:kern w:val="0"/>
          <w:sz w:val="28"/>
          <w:szCs w:val="32"/>
          <w:lang w:eastAsia="hr-HR"/>
          <w14:ligatures w14:val="none"/>
        </w:rPr>
      </w:pPr>
      <w:r>
        <w:rPr>
          <w:rFonts w:eastAsia="Calibri" w:cstheme="minorHAnsi"/>
          <w:b/>
          <w:kern w:val="0"/>
          <w:sz w:val="28"/>
          <w:szCs w:val="32"/>
          <w:lang w:eastAsia="hr-HR"/>
          <w14:ligatures w14:val="none"/>
        </w:rPr>
        <w:t xml:space="preserve">PLAN </w:t>
      </w:r>
      <w:bookmarkStart w:id="0" w:name="_Hlk235476772"/>
      <w:r>
        <w:rPr>
          <w:rFonts w:eastAsia="Calibri" w:cstheme="minorHAnsi"/>
          <w:b/>
          <w:kern w:val="0"/>
          <w:sz w:val="28"/>
          <w:szCs w:val="32"/>
          <w:lang w:eastAsia="hr-HR"/>
          <w14:ligatures w14:val="none"/>
        </w:rPr>
        <w:br w:type="textWrapping"/>
      </w:r>
      <w:r>
        <w:rPr>
          <w:rFonts w:eastAsia="Calibri" w:cstheme="minorHAnsi"/>
          <w:b/>
          <w:kern w:val="0"/>
          <w:sz w:val="28"/>
          <w:szCs w:val="32"/>
          <w:lang w:eastAsia="hr-HR"/>
          <w14:ligatures w14:val="none"/>
        </w:rPr>
        <w:t xml:space="preserve">upisa </w:t>
      </w:r>
      <w:r>
        <w:rPr>
          <w:rFonts w:eastAsia="Calibri" w:cstheme="minorHAnsi"/>
          <w:b/>
          <w:kern w:val="0"/>
          <w:sz w:val="28"/>
          <w:szCs w:val="28"/>
          <w:lang w:eastAsia="hr-HR"/>
          <w14:ligatures w14:val="none"/>
        </w:rPr>
        <w:t xml:space="preserve">u programe </w:t>
      </w:r>
      <w:r>
        <w:rPr>
          <w:rFonts w:eastAsia="Calibri" w:cstheme="minorHAnsi"/>
          <w:b/>
          <w:kern w:val="0"/>
          <w:sz w:val="28"/>
          <w:szCs w:val="28"/>
          <w:lang w:eastAsia="hr-HR"/>
          <w14:ligatures w14:val="none"/>
        </w:rPr>
        <w:br w:type="textWrapping"/>
      </w:r>
      <w:r>
        <w:rPr>
          <w:rFonts w:eastAsia="Calibri" w:cstheme="minorHAnsi"/>
          <w:b/>
          <w:kern w:val="0"/>
          <w:sz w:val="28"/>
          <w:szCs w:val="28"/>
          <w:lang w:eastAsia="hr-HR"/>
          <w14:ligatures w14:val="none"/>
        </w:rPr>
        <w:t>Dječjeg vrtića „Magnolija"</w:t>
      </w:r>
      <w:r>
        <w:rPr>
          <w:rFonts w:eastAsia="Calibri" w:cstheme="minorHAnsi"/>
          <w:b/>
          <w:kern w:val="0"/>
          <w:sz w:val="28"/>
          <w:szCs w:val="28"/>
          <w:lang w:eastAsia="hr-HR"/>
          <w14:ligatures w14:val="none"/>
        </w:rPr>
        <w:br w:type="textWrapping"/>
      </w:r>
      <w:r>
        <w:rPr>
          <w:rFonts w:eastAsia="Calibri" w:cstheme="minorHAnsi"/>
          <w:b/>
          <w:kern w:val="0"/>
          <w:sz w:val="28"/>
          <w:szCs w:val="28"/>
          <w:lang w:eastAsia="hr-HR"/>
          <w14:ligatures w14:val="none"/>
        </w:rPr>
        <w:t>za pedagošku godinu 2026. / 2027.</w:t>
      </w:r>
    </w:p>
    <w:bookmarkEnd w:id="0"/>
    <w:p w14:paraId="210107C5">
      <w:pPr>
        <w:spacing w:after="0" w:line="276" w:lineRule="auto"/>
        <w:rPr>
          <w:rFonts w:eastAsia="Calibri" w:cstheme="minorHAnsi"/>
          <w:b/>
          <w:kern w:val="0"/>
          <w:sz w:val="28"/>
          <w:szCs w:val="28"/>
          <w:lang w:eastAsia="hr-HR"/>
          <w14:ligatures w14:val="none"/>
        </w:rPr>
      </w:pPr>
    </w:p>
    <w:p w14:paraId="3F93E66F">
      <w:pPr>
        <w:pStyle w:val="23"/>
        <w:rPr>
          <w:lang w:eastAsia="hr-HR"/>
        </w:rPr>
      </w:pPr>
    </w:p>
    <w:p w14:paraId="27FC104F">
      <w:pPr>
        <w:pStyle w:val="21"/>
        <w:numPr>
          <w:ilvl w:val="0"/>
          <w:numId w:val="0"/>
        </w:numPr>
        <w:ind w:firstLine="708"/>
        <w:rPr>
          <w:lang w:eastAsia="hr-HR"/>
        </w:rPr>
      </w:pPr>
      <w:r>
        <w:rPr>
          <w:lang w:eastAsia="hr-HR"/>
        </w:rPr>
        <w:t>Djeca se u novu pedagošku godinu upisuju na adresi Dječjeg vrtića „Magnolija“ (u daljnjem tekstu: Vrtić), Kaštelska ulica 14, Pribislavec.</w:t>
      </w:r>
    </w:p>
    <w:p w14:paraId="0C0A7454">
      <w:pPr>
        <w:pStyle w:val="23"/>
        <w:rPr>
          <w:lang w:eastAsia="hr-HR"/>
        </w:rPr>
      </w:pPr>
    </w:p>
    <w:p w14:paraId="081D74E3">
      <w:pPr>
        <w:pStyle w:val="21"/>
        <w:numPr>
          <w:ilvl w:val="0"/>
          <w:numId w:val="0"/>
        </w:numPr>
        <w:ind w:firstLine="708"/>
        <w:rPr>
          <w:lang w:eastAsia="hr-HR"/>
        </w:rPr>
      </w:pPr>
      <w:r>
        <w:rPr>
          <w:lang w:eastAsia="hr-HR"/>
        </w:rPr>
        <w:t>Upis u redovne programe Vrtića vršit će se u periodu od 25. kolovoza do 4. rujna 2026. godine, sukladno članku 6. Pravilnika o upisu djece i ostvarivanju prava i obveza korisnika usluga u Dječjem vrtiću „Magnolija“.</w:t>
      </w:r>
    </w:p>
    <w:p w14:paraId="16F47D3F">
      <w:pPr>
        <w:pStyle w:val="23"/>
        <w:rPr>
          <w:lang w:eastAsia="hr-HR"/>
        </w:rPr>
      </w:pPr>
    </w:p>
    <w:p w14:paraId="3C75A44B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Prednost pri upisu u programe Vrtića imaju djeca roditelja odnosno skrbnika s prebivalištem ili boravištem na području Općine Pribislavec, sukladno kriterijima i postupku utvrđenim Pravilnikom o upisu djece. Ako nakon provedenog upisnog postupka ostanu slobodna mjesta, u programe Vrtića mogu se upisati i djeca s prebivalištem ili boravištem na području drugih jedinica lokalne samouprave, pod uvjetima propisanim Pravilnikom o upisu djece.</w:t>
      </w:r>
    </w:p>
    <w:p w14:paraId="082C92E3">
      <w:pPr>
        <w:pStyle w:val="23"/>
        <w:rPr>
          <w:lang w:eastAsia="hr-HR"/>
        </w:rPr>
      </w:pPr>
    </w:p>
    <w:p w14:paraId="310BC670">
      <w:pPr>
        <w:pStyle w:val="21"/>
        <w:numPr>
          <w:ilvl w:val="0"/>
          <w:numId w:val="0"/>
        </w:numPr>
        <w:ind w:left="227"/>
        <w:rPr>
          <w:lang w:eastAsia="hr-HR"/>
        </w:rPr>
      </w:pPr>
      <w:r>
        <w:rPr>
          <w:lang w:eastAsia="hr-HR"/>
        </w:rPr>
        <w:t xml:space="preserve">   Slobodna mjesta u pedagoškoj godini 2026. / 2027.: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127"/>
        <w:gridCol w:w="2835"/>
      </w:tblGrid>
      <w:tr w14:paraId="4248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shd w:val="clear" w:color="auto" w:fill="FFCCD5"/>
            <w:vAlign w:val="center"/>
          </w:tcPr>
          <w:p w14:paraId="2BC88477">
            <w:pPr>
              <w:spacing w:after="0" w:line="276" w:lineRule="auto"/>
              <w:jc w:val="center"/>
              <w:rPr>
                <w:rFonts w:eastAsia="Calibri" w:cstheme="minorHAnsi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b/>
                <w:kern w:val="0"/>
                <w:sz w:val="24"/>
                <w:szCs w:val="24"/>
                <w:lang w:eastAsia="hr-HR"/>
                <w14:ligatures w14:val="none"/>
              </w:rPr>
              <w:t>odgojna skupina</w:t>
            </w:r>
          </w:p>
        </w:tc>
        <w:tc>
          <w:tcPr>
            <w:tcW w:w="2127" w:type="dxa"/>
            <w:shd w:val="clear" w:color="auto" w:fill="FFCCD5"/>
            <w:vAlign w:val="center"/>
          </w:tcPr>
          <w:p w14:paraId="468E9189">
            <w:pPr>
              <w:spacing w:after="0" w:line="276" w:lineRule="auto"/>
              <w:jc w:val="center"/>
              <w:rPr>
                <w:rFonts w:eastAsia="Calibri" w:cstheme="minorHAnsi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b/>
                <w:kern w:val="0"/>
                <w:sz w:val="24"/>
                <w:szCs w:val="24"/>
                <w:lang w:eastAsia="hr-HR"/>
                <w14:ligatures w14:val="none"/>
              </w:rPr>
              <w:t>broj skupina</w:t>
            </w:r>
          </w:p>
        </w:tc>
        <w:tc>
          <w:tcPr>
            <w:tcW w:w="2835" w:type="dxa"/>
            <w:shd w:val="clear" w:color="auto" w:fill="FFCCD5"/>
            <w:vAlign w:val="center"/>
          </w:tcPr>
          <w:p w14:paraId="66721979">
            <w:pPr>
              <w:spacing w:after="0" w:line="276" w:lineRule="auto"/>
              <w:jc w:val="center"/>
              <w:rPr>
                <w:rFonts w:eastAsia="Calibri" w:cstheme="minorHAnsi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b/>
                <w:kern w:val="0"/>
                <w:sz w:val="24"/>
                <w:szCs w:val="24"/>
                <w:lang w:eastAsia="hr-HR"/>
                <w14:ligatures w14:val="none"/>
              </w:rPr>
              <w:t>slobodna mjesta</w:t>
            </w:r>
          </w:p>
        </w:tc>
      </w:tr>
      <w:tr w14:paraId="03A1F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62712B81">
            <w:pPr>
              <w:spacing w:after="0" w:line="276" w:lineRule="auto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jaslička skupina</w:t>
            </w:r>
          </w:p>
        </w:tc>
        <w:tc>
          <w:tcPr>
            <w:tcW w:w="2127" w:type="dxa"/>
            <w:vAlign w:val="center"/>
          </w:tcPr>
          <w:p w14:paraId="2A9ED20D">
            <w:pPr>
              <w:spacing w:after="0" w:line="276" w:lineRule="auto"/>
              <w:jc w:val="center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2835" w:type="dxa"/>
            <w:vAlign w:val="center"/>
          </w:tcPr>
          <w:p w14:paraId="29ECFC90">
            <w:pPr>
              <w:spacing w:after="0" w:line="276" w:lineRule="auto"/>
              <w:jc w:val="center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24</w:t>
            </w:r>
          </w:p>
        </w:tc>
      </w:tr>
      <w:tr w14:paraId="0DB1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76A20BE0">
            <w:pPr>
              <w:spacing w:after="0" w:line="276" w:lineRule="auto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vrtićka mlađa</w:t>
            </w:r>
          </w:p>
        </w:tc>
        <w:tc>
          <w:tcPr>
            <w:tcW w:w="2127" w:type="dxa"/>
            <w:vAlign w:val="center"/>
          </w:tcPr>
          <w:p w14:paraId="41AE760E">
            <w:pPr>
              <w:spacing w:after="0" w:line="276" w:lineRule="auto"/>
              <w:jc w:val="center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2835" w:type="dxa"/>
            <w:vAlign w:val="center"/>
          </w:tcPr>
          <w:p w14:paraId="5CF3BD4B">
            <w:pPr>
              <w:spacing w:after="0" w:line="276" w:lineRule="auto"/>
              <w:jc w:val="center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40</w:t>
            </w:r>
          </w:p>
        </w:tc>
      </w:tr>
      <w:tr w14:paraId="0DF5B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78453099">
            <w:pPr>
              <w:spacing w:after="0" w:line="276" w:lineRule="auto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vrtićka starija</w:t>
            </w:r>
          </w:p>
        </w:tc>
        <w:tc>
          <w:tcPr>
            <w:tcW w:w="2127" w:type="dxa"/>
            <w:vAlign w:val="center"/>
          </w:tcPr>
          <w:p w14:paraId="1166631C">
            <w:pPr>
              <w:spacing w:after="0" w:line="276" w:lineRule="auto"/>
              <w:jc w:val="center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2835" w:type="dxa"/>
            <w:vAlign w:val="center"/>
          </w:tcPr>
          <w:p w14:paraId="1FF4D0A9">
            <w:pPr>
              <w:spacing w:after="0" w:line="276" w:lineRule="auto"/>
              <w:jc w:val="center"/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:lang w:eastAsia="hr-HR"/>
                <w14:ligatures w14:val="none"/>
              </w:rPr>
              <w:t>44</w:t>
            </w:r>
          </w:p>
        </w:tc>
      </w:tr>
    </w:tbl>
    <w:p w14:paraId="25D42AB5">
      <w:pPr>
        <w:pStyle w:val="23"/>
        <w:rPr>
          <w:lang w:eastAsia="hr-HR"/>
        </w:rPr>
      </w:pPr>
    </w:p>
    <w:p w14:paraId="57771A66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Ukoliko vrtić bude u mogućnosti upisati svu prijavljenu djecu neće se primjenjivati metoda bodovanja za ostvarivanje prednosti pri upisu. Ukoliko se sva prijavljena djeca ne mogu upisati, za polaznike koji se prvi puta upisuju u vrtić, primjenjivat će se metoda bodovanja utvrđena člankom 8. Pravilnika o upisu djece i ostvarivanju prava i obveza korisnika usluga u Dječjem vrtiću „Magnolija“.</w:t>
      </w:r>
    </w:p>
    <w:p w14:paraId="240051A8">
      <w:pPr>
        <w:pStyle w:val="23"/>
        <w:rPr>
          <w:lang w:eastAsia="hr-HR"/>
        </w:rPr>
      </w:pPr>
    </w:p>
    <w:p w14:paraId="3B495BBE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 xml:space="preserve">Zahtjev za upis podnosi se na posebnom obrascu koji se preuzima u vrtiću ili na mrežnim stranicama Vrtića i Općine Pribislavec. Uz zahtjev je potrebno priložiti upisnu dokumentaciju navedenu na obrascu zahtjeva. U upisnom roku neće se razmatrati upisna dokumentacija djece koja ne ispunjavaju dobni uvjet za upis u jaslice / vrtić. Zahtjevi koji nemaju kompletnu dokumentaciju neće se razmatrati. </w:t>
      </w:r>
    </w:p>
    <w:p w14:paraId="08516D55">
      <w:pPr>
        <w:pStyle w:val="23"/>
        <w:rPr>
          <w:lang w:eastAsia="hr-HR"/>
        </w:rPr>
      </w:pPr>
    </w:p>
    <w:p w14:paraId="36DBF92C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 xml:space="preserve">Nakon cjelovitog uvida i analize upisne dokumentacije, Povjerenstvo za upis dostavit će podatke Upravnom vijeću vrtića o provedenom upisu. Upravno vijeće donosi Odluku o upisu djece u pedagošku godinu 2026. / 2027., koja se objavljuje na oglasnoj ploči i mrežnoj stranici Vrtića u roku od 30 dana od isteka roka za podnošenje zahtjeva za upis. </w:t>
      </w:r>
    </w:p>
    <w:p w14:paraId="2FF2D5AB">
      <w:pPr>
        <w:pStyle w:val="23"/>
        <w:rPr>
          <w:lang w:eastAsia="hr-HR"/>
        </w:rPr>
      </w:pPr>
    </w:p>
    <w:p w14:paraId="11FBBBF1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 xml:space="preserve">Svi zahtjevi za upis u Vrtić, koji su u redovnom upisnom roku negativno riješeni, formiraju listu čekanja koja će se rješavati sukladno slobodnim mjestima u Vrtiću. Svi zahtjevi predani izvan redovnog roka rješavaju se sukladno slobodnim mjestima u Vrtiću, odnosno upisuju se na formiranu listu čekanja. Bez obzira na datum predavanja zahtjeva, apsolutnu prednost imaju djeca s prebivalištem u Općini Pribislavec. </w:t>
      </w:r>
    </w:p>
    <w:p w14:paraId="0165D696">
      <w:pPr>
        <w:pStyle w:val="23"/>
        <w:rPr>
          <w:lang w:eastAsia="hr-HR"/>
        </w:rPr>
      </w:pPr>
    </w:p>
    <w:p w14:paraId="3AE5D74A">
      <w:pPr>
        <w:pStyle w:val="21"/>
        <w:numPr>
          <w:ilvl w:val="0"/>
          <w:numId w:val="0"/>
        </w:numPr>
        <w:ind w:firstLine="227"/>
        <w:rPr>
          <w:rFonts w:eastAsia="Calibri"/>
          <w:lang w:eastAsia="hr-HR"/>
        </w:rPr>
      </w:pPr>
      <w:r>
        <w:rPr>
          <w:lang w:eastAsia="hr-HR"/>
        </w:rPr>
        <w:t>Broj slobodnih mjesta utvrđen ovim Planom je okviran te se može smanjiti u slučaju uključivanja djece s teškoćama u razvoju u odgojno-obrazovne skupine, sukladno članku 22. stavcima 3. i 4. Državnog pedagoškog standarda predškolskog odgoja i obrazovanja (NN 63/08)</w:t>
      </w:r>
      <w:r>
        <w:rPr>
          <w:rFonts w:eastAsia="Calibri"/>
          <w:lang w:eastAsia="hr-HR"/>
        </w:rPr>
        <w:t>.</w:t>
      </w:r>
    </w:p>
    <w:p w14:paraId="1E80FE77">
      <w:pPr>
        <w:pStyle w:val="23"/>
        <w:rPr>
          <w:lang w:eastAsia="hr-HR"/>
        </w:rPr>
      </w:pPr>
    </w:p>
    <w:p w14:paraId="55AECC3C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 xml:space="preserve">U slučaju ispisa djece tijekom pedagoške godine postoji mogućnost povećanja broja slobodnih mjesta. </w:t>
      </w:r>
    </w:p>
    <w:p w14:paraId="35A7D399">
      <w:pPr>
        <w:pStyle w:val="23"/>
        <w:rPr>
          <w:lang w:eastAsia="hr-HR"/>
        </w:rPr>
      </w:pPr>
    </w:p>
    <w:p w14:paraId="026D5673">
      <w:pPr>
        <w:pStyle w:val="21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 xml:space="preserve">Ovaj Plan upisa objavljen je na oglasnoj ploči i mrežnoj stranici Dječjeg vrtića „Magnolija“ 24. srpnja 2026. godine i stupa na snagu danom objave. </w:t>
      </w:r>
    </w:p>
    <w:p w14:paraId="7347BAA7">
      <w:pPr>
        <w:spacing w:after="0" w:line="276" w:lineRule="auto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</w:p>
    <w:p w14:paraId="21D08F82">
      <w:pPr>
        <w:spacing w:after="0" w:line="276" w:lineRule="auto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</w:p>
    <w:p w14:paraId="591E24FF">
      <w:pPr>
        <w:spacing w:after="0" w:line="276" w:lineRule="auto"/>
        <w:ind w:firstLine="708"/>
        <w:jc w:val="both"/>
        <w:rPr>
          <w:rFonts w:eastAsia="Calibri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Calibri" w:cstheme="minorHAnsi"/>
          <w:kern w:val="0"/>
          <w:sz w:val="24"/>
          <w:szCs w:val="24"/>
          <w:lang w:eastAsia="hr-HR"/>
          <w14:ligatures w14:val="none"/>
        </w:rPr>
        <w:t xml:space="preserve">Ovaj Plan upisa Dječjeg vrtića „Magnolija“ za pedagošku godinu 2026. / 2027. objavljen je na oglasnoj ploči i mrežnim stranicama Vrtića dana 24. srpnja 2026. godine, a stupa na snagu danom objave. </w:t>
      </w:r>
    </w:p>
    <w:p w14:paraId="71C6045D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</w:p>
    <w:p w14:paraId="1EC9F19A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601-01/26-13/01</w:t>
      </w:r>
      <w:bookmarkStart w:id="1" w:name="_GoBack"/>
      <w:bookmarkEnd w:id="1"/>
    </w:p>
    <w:p w14:paraId="44466641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2109-26-1-02-26-2</w:t>
      </w:r>
    </w:p>
    <w:p w14:paraId="7B6B03A5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Pribislavec, </w:t>
      </w:r>
      <w:r>
        <w:rPr>
          <w:rFonts w:eastAsia="Times New Roman" w:cstheme="minorHAnsi"/>
          <w:sz w:val="24"/>
          <w:szCs w:val="24"/>
          <w:highlight w:val="none"/>
          <w:lang w:eastAsia="hr-HR"/>
        </w:rPr>
        <w:t>17. kolovoza</w:t>
      </w:r>
      <w:r>
        <w:rPr>
          <w:rFonts w:eastAsia="Times New Roman" w:cstheme="minorHAnsi"/>
          <w:sz w:val="24"/>
          <w:szCs w:val="24"/>
          <w:lang w:eastAsia="hr-HR"/>
        </w:rPr>
        <w:t xml:space="preserve"> 2026. godine</w:t>
      </w:r>
    </w:p>
    <w:p w14:paraId="40B3262A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</w:p>
    <w:p w14:paraId="5377D1F8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4308475</wp:posOffset>
            </wp:positionH>
            <wp:positionV relativeFrom="paragraph">
              <wp:posOffset>848360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36BEE8D7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54F76076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56AC4EF7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2B5E4C73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78EC6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377E5549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7BBDF89C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F7659E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DB6AB0"/>
    <w:multiLevelType w:val="multilevel"/>
    <w:tmpl w:val="59DB6AB0"/>
    <w:lvl w:ilvl="0" w:tentative="0">
      <w:start w:val="1"/>
      <w:numFmt w:val="decimal"/>
      <w:pStyle w:val="23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1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A03641E"/>
    <w:multiLevelType w:val="multilevel"/>
    <w:tmpl w:val="5A03641E"/>
    <w:lvl w:ilvl="0" w:tentative="0">
      <w:start w:val="1"/>
      <w:numFmt w:val="upperRoman"/>
      <w:pStyle w:val="18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2E"/>
    <w:rsid w:val="0004358E"/>
    <w:rsid w:val="000447E0"/>
    <w:rsid w:val="000F50D6"/>
    <w:rsid w:val="000F7863"/>
    <w:rsid w:val="0015506A"/>
    <w:rsid w:val="001572F5"/>
    <w:rsid w:val="0016785B"/>
    <w:rsid w:val="00181185"/>
    <w:rsid w:val="00194B9B"/>
    <w:rsid w:val="001A3F17"/>
    <w:rsid w:val="001A7F48"/>
    <w:rsid w:val="001C347C"/>
    <w:rsid w:val="00265701"/>
    <w:rsid w:val="0027700A"/>
    <w:rsid w:val="00277AB0"/>
    <w:rsid w:val="002B3DE5"/>
    <w:rsid w:val="002C4C7E"/>
    <w:rsid w:val="0031180E"/>
    <w:rsid w:val="0031708B"/>
    <w:rsid w:val="0033372F"/>
    <w:rsid w:val="0033782E"/>
    <w:rsid w:val="003437BA"/>
    <w:rsid w:val="00355702"/>
    <w:rsid w:val="003731D7"/>
    <w:rsid w:val="003C1DD5"/>
    <w:rsid w:val="003D1769"/>
    <w:rsid w:val="003E5DA5"/>
    <w:rsid w:val="00436D16"/>
    <w:rsid w:val="004634A0"/>
    <w:rsid w:val="004A5F15"/>
    <w:rsid w:val="004E0C7B"/>
    <w:rsid w:val="005349C7"/>
    <w:rsid w:val="005408FE"/>
    <w:rsid w:val="005415CD"/>
    <w:rsid w:val="00561CCF"/>
    <w:rsid w:val="0056461A"/>
    <w:rsid w:val="00567F5E"/>
    <w:rsid w:val="00585D9C"/>
    <w:rsid w:val="00586A1D"/>
    <w:rsid w:val="005B09DA"/>
    <w:rsid w:val="005B4EA1"/>
    <w:rsid w:val="00600A57"/>
    <w:rsid w:val="0068550A"/>
    <w:rsid w:val="006B33BB"/>
    <w:rsid w:val="0070389F"/>
    <w:rsid w:val="00740101"/>
    <w:rsid w:val="00750EAA"/>
    <w:rsid w:val="00757ECC"/>
    <w:rsid w:val="00784DDD"/>
    <w:rsid w:val="007946CB"/>
    <w:rsid w:val="00826126"/>
    <w:rsid w:val="00886CD9"/>
    <w:rsid w:val="008D61F3"/>
    <w:rsid w:val="008F1A87"/>
    <w:rsid w:val="008F46ED"/>
    <w:rsid w:val="008F5D76"/>
    <w:rsid w:val="0091662F"/>
    <w:rsid w:val="0093782F"/>
    <w:rsid w:val="00970437"/>
    <w:rsid w:val="0098613D"/>
    <w:rsid w:val="00A13A2C"/>
    <w:rsid w:val="00A72A6C"/>
    <w:rsid w:val="00A772EC"/>
    <w:rsid w:val="00A90C72"/>
    <w:rsid w:val="00AB6939"/>
    <w:rsid w:val="00B214CE"/>
    <w:rsid w:val="00B23142"/>
    <w:rsid w:val="00B465FE"/>
    <w:rsid w:val="00B63F0D"/>
    <w:rsid w:val="00B95570"/>
    <w:rsid w:val="00BA21FD"/>
    <w:rsid w:val="00BA7563"/>
    <w:rsid w:val="00C50867"/>
    <w:rsid w:val="00C530A2"/>
    <w:rsid w:val="00C82D03"/>
    <w:rsid w:val="00CA0220"/>
    <w:rsid w:val="00CB3C0F"/>
    <w:rsid w:val="00CF1075"/>
    <w:rsid w:val="00D106BA"/>
    <w:rsid w:val="00D340C6"/>
    <w:rsid w:val="00D70D17"/>
    <w:rsid w:val="00D8177B"/>
    <w:rsid w:val="00D81CE3"/>
    <w:rsid w:val="00D958C4"/>
    <w:rsid w:val="00DD2B47"/>
    <w:rsid w:val="00DD5B4B"/>
    <w:rsid w:val="00DF51A1"/>
    <w:rsid w:val="00E22B85"/>
    <w:rsid w:val="00E4691B"/>
    <w:rsid w:val="00E65D5E"/>
    <w:rsid w:val="00E71088"/>
    <w:rsid w:val="00E850FF"/>
    <w:rsid w:val="00EC6D09"/>
    <w:rsid w:val="00F07211"/>
    <w:rsid w:val="00F147E4"/>
    <w:rsid w:val="00F35E59"/>
    <w:rsid w:val="00F729FB"/>
    <w:rsid w:val="00F863C1"/>
    <w:rsid w:val="00FD3301"/>
    <w:rsid w:val="1E6A39BE"/>
    <w:rsid w:val="72C4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link w:val="19"/>
    <w:qFormat/>
    <w:uiPriority w:val="34"/>
    <w:pPr>
      <w:ind w:left="720"/>
      <w:contextualSpacing/>
    </w:pPr>
  </w:style>
  <w:style w:type="character" w:customStyle="1" w:styleId="14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5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6">
    <w:name w:val="Comment Text Char"/>
    <w:basedOn w:val="3"/>
    <w:link w:val="6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7">
    <w:name w:val="Comment Subject Char"/>
    <w:basedOn w:val="16"/>
    <w:link w:val="7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8">
    <w:name w:val="Glava"/>
    <w:basedOn w:val="13"/>
    <w:link w:val="20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9">
    <w:name w:val="List Paragraph Char"/>
    <w:basedOn w:val="3"/>
    <w:link w:val="13"/>
    <w:qFormat/>
    <w:uiPriority w:val="34"/>
    <w:rPr>
      <w:kern w:val="2"/>
      <w14:ligatures w14:val="standardContextual"/>
    </w:rPr>
  </w:style>
  <w:style w:type="character" w:customStyle="1" w:styleId="20">
    <w:name w:val="Glava Char"/>
    <w:basedOn w:val="19"/>
    <w:link w:val="18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1">
    <w:name w:val="Stavak"/>
    <w:basedOn w:val="13"/>
    <w:link w:val="22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2">
    <w:name w:val="Stavak Char"/>
    <w:basedOn w:val="19"/>
    <w:link w:val="21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3">
    <w:name w:val="Članak X"/>
    <w:basedOn w:val="13"/>
    <w:link w:val="24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4">
    <w:name w:val="Članak X Char"/>
    <w:basedOn w:val="19"/>
    <w:link w:val="23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5">
    <w:name w:val="Heading 1 Char"/>
    <w:basedOn w:val="3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3</Pages>
  <Words>620</Words>
  <Characters>3598</Characters>
  <Lines>30</Lines>
  <Paragraphs>8</Paragraphs>
  <TotalTime>22</TotalTime>
  <ScaleCrop>false</ScaleCrop>
  <LinksUpToDate>false</LinksUpToDate>
  <CharactersWithSpaces>4190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2026-07-23T21:59:00Z</dcterms:created>
  <dc:creator>Dina</dc:creator>
  <cp:lastModifiedBy>Matija Ladić</cp:lastModifiedBy>
  <dcterms:modified xsi:type="dcterms:W3CDTF">2026-08-18T06:40:47Z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EEF83AB07CDC4DF99F30F40FDD6EDB46_12</vt:lpwstr>
  </property>
</Properties>
</file>