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C6589">
      <w:pPr>
        <w:spacing w:after="0" w:line="276" w:lineRule="auto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drawing>
          <wp:inline distT="0" distB="0" distL="0" distR="0">
            <wp:extent cx="1432560" cy="10744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37B35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REPUBLIKA HRVATSKA</w:t>
      </w:r>
    </w:p>
    <w:p w14:paraId="739AA579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MEĐIMURSKA ŽUPANIJA</w:t>
      </w:r>
    </w:p>
    <w:p w14:paraId="0ECB11AA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DJEČJI VRTIĆ „MAGNOLIJA" </w:t>
      </w:r>
    </w:p>
    <w:p w14:paraId="1F71603B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PRIBISLAVEC</w:t>
      </w:r>
    </w:p>
    <w:p w14:paraId="3BD96952">
      <w:pPr>
        <w:spacing w:after="0" w:line="276" w:lineRule="auto"/>
        <w:jc w:val="both"/>
        <w:rPr>
          <w:rFonts w:eastAsia="Calibri" w:cstheme="minorHAnsi"/>
          <w:b/>
          <w:kern w:val="0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684D7711">
      <w:pPr>
        <w:spacing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1EAA4EB3">
      <w:pPr>
        <w:spacing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Na temelju članka 14., 15. i 16. Pravilnika o proračunskom računovodstvu i računskom planu („Narodne novine“ br. 124/14, 115/15, 87/16, 3/18, 126/19 i 108/20), Uputama Ministarstva financija o obavljanju popisa imovine i obveza KLASA: 400-01/15-01/112, URBROJ: 513-05-02-15-2, od 11. prosinca 2015. i članka 9. Statuta Dječjeg vrtića „Magnolija“ (</w:t>
      </w:r>
      <w:r>
        <w:rPr>
          <w:rFonts w:eastAsia="Calibri" w:cstheme="minorHAnsi"/>
          <w:kern w:val="0"/>
          <w:sz w:val="24"/>
          <w:szCs w:val="24"/>
          <w14:ligatures w14:val="none"/>
        </w:rPr>
        <w:t>KLASA:</w:t>
      </w:r>
      <w:r>
        <w:rPr>
          <w:rFonts w:cstheme="minorHAnsi"/>
          <w:kern w:val="0"/>
          <w:sz w:val="24"/>
          <w:szCs w:val="24"/>
          <w14:ligatures w14:val="none"/>
        </w:rPr>
        <w:t xml:space="preserve"> </w:t>
      </w:r>
      <w:r>
        <w:rPr>
          <w:rFonts w:eastAsia="Calibri" w:cstheme="minorHAnsi"/>
          <w:kern w:val="0"/>
          <w:sz w:val="24"/>
          <w:szCs w:val="24"/>
          <w14:ligatures w14:val="none"/>
        </w:rPr>
        <w:t>601-01/26-01/05; URBROJ:</w:t>
      </w:r>
      <w:r>
        <w:rPr>
          <w:rFonts w:cstheme="minorHAnsi"/>
          <w:kern w:val="0"/>
          <w:sz w:val="24"/>
          <w:szCs w:val="24"/>
          <w14:ligatures w14:val="none"/>
        </w:rPr>
        <w:t xml:space="preserve"> </w:t>
      </w:r>
      <w:r>
        <w:rPr>
          <w:rFonts w:eastAsia="Calibri" w:cstheme="minorHAnsi"/>
          <w:kern w:val="0"/>
          <w:sz w:val="24"/>
          <w:szCs w:val="24"/>
          <w14:ligatures w14:val="none"/>
        </w:rPr>
        <w:t>2109-26-06-26-06 od 16. travnja 2026. godine),</w:t>
      </w:r>
      <w:r>
        <w:rPr>
          <w:rFonts w:cstheme="minorHAnsi"/>
          <w:kern w:val="0"/>
          <w:sz w:val="24"/>
          <w:szCs w:val="24"/>
          <w14:ligatures w14:val="none"/>
        </w:rPr>
        <w:t xml:space="preserve"> Upravno vijeće Dječjeg vrtića „Magnolija“ je na 4. sjednici održanoj 23. srpnja 2026. godine donijelo</w:t>
      </w:r>
    </w:p>
    <w:p w14:paraId="0699EFB0">
      <w:pPr>
        <w:spacing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2ECB82D2">
      <w:pPr>
        <w:spacing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5A8CF16D">
      <w:pPr>
        <w:keepNext/>
        <w:keepLines/>
        <w:spacing w:before="120" w:after="120"/>
        <w:jc w:val="center"/>
        <w:outlineLvl w:val="0"/>
        <w:rPr>
          <w:rFonts w:ascii="Calibri" w:hAnsi="Calibri" w:eastAsiaTheme="majorEastAsia" w:cstheme="majorBidi"/>
          <w:b/>
          <w:kern w:val="0"/>
          <w:sz w:val="28"/>
          <w:szCs w:val="32"/>
          <w14:ligatures w14:val="none"/>
        </w:rPr>
      </w:pPr>
      <w:r>
        <w:rPr>
          <w:rFonts w:ascii="Calibri" w:hAnsi="Calibri" w:eastAsiaTheme="majorEastAsia" w:cstheme="majorBidi"/>
          <w:b/>
          <w:kern w:val="0"/>
          <w:sz w:val="28"/>
          <w:szCs w:val="32"/>
          <w14:ligatures w14:val="none"/>
        </w:rPr>
        <w:t>PRAVILNIK</w:t>
      </w:r>
      <w:r>
        <w:rPr>
          <w:rFonts w:ascii="Calibri" w:hAnsi="Calibri" w:eastAsiaTheme="majorEastAsia" w:cstheme="majorBidi"/>
          <w:b/>
          <w:kern w:val="0"/>
          <w:sz w:val="28"/>
          <w:szCs w:val="32"/>
          <w14:ligatures w14:val="none"/>
        </w:rPr>
        <w:br w:type="textWrapping"/>
      </w:r>
      <w:r>
        <w:rPr>
          <w:rFonts w:ascii="Calibri" w:hAnsi="Calibri" w:eastAsiaTheme="majorEastAsia" w:cstheme="majorBidi"/>
          <w:b/>
          <w:kern w:val="0"/>
          <w:sz w:val="28"/>
          <w:szCs w:val="32"/>
          <w14:ligatures w14:val="none"/>
        </w:rPr>
        <w:t xml:space="preserve">o popisu imovine i obveza </w:t>
      </w:r>
      <w:r>
        <w:rPr>
          <w:rFonts w:ascii="Calibri" w:hAnsi="Calibri" w:eastAsiaTheme="majorEastAsia" w:cstheme="majorBidi"/>
          <w:b/>
          <w:kern w:val="0"/>
          <w:sz w:val="28"/>
          <w:szCs w:val="32"/>
          <w14:ligatures w14:val="none"/>
        </w:rPr>
        <w:br w:type="textWrapping"/>
      </w:r>
      <w:r>
        <w:rPr>
          <w:rFonts w:ascii="Calibri" w:hAnsi="Calibri" w:eastAsiaTheme="majorEastAsia" w:cstheme="majorBidi"/>
          <w:b/>
          <w:kern w:val="0"/>
          <w:sz w:val="28"/>
          <w:szCs w:val="32"/>
          <w14:ligatures w14:val="none"/>
        </w:rPr>
        <w:t>Dječjeg vrtića „Magnolija“</w:t>
      </w:r>
    </w:p>
    <w:p w14:paraId="6C16CF2B">
      <w:pPr>
        <w:rPr>
          <w:kern w:val="0"/>
          <w14:ligatures w14:val="none"/>
        </w:rPr>
      </w:pPr>
    </w:p>
    <w:p w14:paraId="07CA4ECC">
      <w:pPr>
        <w:rPr>
          <w:kern w:val="0"/>
          <w14:ligatures w14:val="none"/>
        </w:rPr>
      </w:pPr>
    </w:p>
    <w:p w14:paraId="42168607">
      <w:pPr>
        <w:pStyle w:val="22"/>
      </w:pPr>
    </w:p>
    <w:p w14:paraId="75209979">
      <w:pPr>
        <w:pStyle w:val="20"/>
      </w:pPr>
      <w:r>
        <w:t xml:space="preserve">Godišnji popis imovine i obveza obavezan je za sve proračunske korisnike i čini temelj za sastavljanje godišnjih financijskih izvještaja.  </w:t>
      </w:r>
    </w:p>
    <w:p w14:paraId="7EACBC7A">
      <w:pPr>
        <w:pStyle w:val="20"/>
      </w:pPr>
      <w:r>
        <w:t xml:space="preserve">Popis imovine i obveza je postupak utvrđivanja stvarnog stanja imovine i obveza (i vlastitih izvora kao razlike između imovine i obveza) prema kojem se postojeća knjigovodstvena stanja svode na popisom utvrđena stvarna stanja. </w:t>
      </w:r>
    </w:p>
    <w:p w14:paraId="43C78889">
      <w:pPr>
        <w:pStyle w:val="22"/>
      </w:pPr>
    </w:p>
    <w:p w14:paraId="58CDBF1E">
      <w:pPr>
        <w:pStyle w:val="20"/>
      </w:pPr>
      <w:r>
        <w:t xml:space="preserve">Predmet popisa su imovina i obveze.  </w:t>
      </w:r>
    </w:p>
    <w:p w14:paraId="6829C972">
      <w:pPr>
        <w:pStyle w:val="20"/>
      </w:pPr>
      <w:r>
        <w:t xml:space="preserve">Redovan popis imovine i obveza mora se provesti na kraju svake poslovne godine sa stanjem na datum bilance, tj. 31. prosinca, pri čemu se vrši usklađivanje stanja imovine, obveza i njihovih izvora iskazanih u knjigovodstvenoj evidenciji sa stvarnim stanjem koje je utvrđeno popisom. </w:t>
      </w:r>
    </w:p>
    <w:p w14:paraId="26221BAB">
      <w:pPr>
        <w:pStyle w:val="20"/>
      </w:pPr>
      <w:r>
        <w:t xml:space="preserve">Izvanredni popis u tijeku godine obvezan je:  </w:t>
      </w:r>
    </w:p>
    <w:p w14:paraId="058C2F43">
      <w:pPr>
        <w:numPr>
          <w:ilvl w:val="0"/>
          <w:numId w:val="3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na početku poslovanja  </w:t>
      </w:r>
    </w:p>
    <w:p w14:paraId="6DFDE365">
      <w:pPr>
        <w:numPr>
          <w:ilvl w:val="0"/>
          <w:numId w:val="3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prilikom primopredaje dužnosti, ukoliko zahtjeva primatelj dužnosti  </w:t>
      </w:r>
    </w:p>
    <w:p w14:paraId="40099386">
      <w:pPr>
        <w:numPr>
          <w:ilvl w:val="0"/>
          <w:numId w:val="3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drugim slučajevima predviđenim zakonom (elementarne nepogode, požari, provale i sl)  </w:t>
      </w:r>
    </w:p>
    <w:p w14:paraId="4A6D6301">
      <w:pPr>
        <w:numPr>
          <w:ilvl w:val="0"/>
          <w:numId w:val="3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kod statusnih promjena, a može se provesti i po nalogu Osnivača.  </w:t>
      </w:r>
    </w:p>
    <w:p w14:paraId="617C09B5">
      <w:pPr>
        <w:pStyle w:val="20"/>
      </w:pPr>
      <w:r>
        <w:t xml:space="preserve">Djelomičan popis provodi se kod primopredaje blagajnika i drugog rukovatelja imovinom, za onu imovinu za koju su zaduženi. </w:t>
      </w:r>
    </w:p>
    <w:p w14:paraId="6E8D579E">
      <w:pPr>
        <w:pStyle w:val="20"/>
      </w:pPr>
      <w:r>
        <w:t xml:space="preserve">Kontinuirano usklađivanje evidencije obavlja se neprekidno u tijeku godine, prema planu i sustavno se popisuje određena vrsta imovine radi ažurnog usklađivanja s knjigovodstvenom evidencijom.  </w:t>
      </w:r>
    </w:p>
    <w:p w14:paraId="3F6733B2">
      <w:pPr>
        <w:pStyle w:val="22"/>
      </w:pPr>
    </w:p>
    <w:p w14:paraId="753711B2">
      <w:pPr>
        <w:pStyle w:val="20"/>
      </w:pPr>
      <w:r>
        <w:t xml:space="preserve">Popisom imovine mora se obuhvatiti sva imovina i obveze koje su u strukturi Računskog plana proračuna obuhvaćene u razredima:  </w:t>
      </w:r>
    </w:p>
    <w:p w14:paraId="5CAED84B">
      <w:pPr>
        <w:pStyle w:val="12"/>
        <w:numPr>
          <w:ilvl w:val="0"/>
          <w:numId w:val="4"/>
        </w:numPr>
        <w:spacing w:after="0"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0 nefinancijska imovina  </w:t>
      </w:r>
    </w:p>
    <w:p w14:paraId="3AAC8E30">
      <w:pPr>
        <w:pStyle w:val="12"/>
        <w:numPr>
          <w:ilvl w:val="0"/>
          <w:numId w:val="4"/>
        </w:numPr>
        <w:spacing w:after="0"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1 financijska imovina   </w:t>
      </w:r>
    </w:p>
    <w:p w14:paraId="08D79238">
      <w:pPr>
        <w:pStyle w:val="12"/>
        <w:numPr>
          <w:ilvl w:val="0"/>
          <w:numId w:val="4"/>
        </w:numPr>
        <w:tabs>
          <w:tab w:val="center" w:pos="4680"/>
        </w:tabs>
        <w:spacing w:after="0"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2 obveze.</w:t>
      </w:r>
    </w:p>
    <w:p w14:paraId="51112C75">
      <w:pPr>
        <w:pStyle w:val="22"/>
      </w:pPr>
    </w:p>
    <w:p w14:paraId="1AE37499">
      <w:pPr>
        <w:pStyle w:val="20"/>
      </w:pPr>
      <w:r>
        <w:t xml:space="preserve">Redovni godišnji popis provodi se sa stanjem na dan 31. prosinca tekuće godine. </w:t>
      </w:r>
    </w:p>
    <w:p w14:paraId="22FCE13C">
      <w:pPr>
        <w:pStyle w:val="20"/>
      </w:pPr>
      <w:r>
        <w:t xml:space="preserve">Ravnatelj Vrtića do 5. prosinca tekuće godine donosi Odluku o popisu imovine i imenovanju povjerenstva za obavljanje popisa imovine i obveza sa stanjem na dan 31. prosinca. </w:t>
      </w:r>
    </w:p>
    <w:p w14:paraId="5A59717E">
      <w:pPr>
        <w:pStyle w:val="20"/>
      </w:pPr>
      <w:r>
        <w:t xml:space="preserve">Krajnji rok za dovršetak popisa i predaju izvješća po obavljenom popisu određuje se do 15. siječnja naredne kalendarske godine. </w:t>
      </w:r>
    </w:p>
    <w:p w14:paraId="3463DF8B">
      <w:pPr>
        <w:pStyle w:val="20"/>
      </w:pPr>
      <w:r>
        <w:t xml:space="preserve">Sve promjene od dana popisa do 31. prosinca moraju se pridodati ili odbiti od iskazanog stanja u popisnim listama, ovisno o poslovnim događajima i transakcijama, tako da se dobije stvarno stanje na dan 31. prosinca.  </w:t>
      </w:r>
    </w:p>
    <w:p w14:paraId="76839921">
      <w:pPr>
        <w:pStyle w:val="22"/>
      </w:pPr>
    </w:p>
    <w:p w14:paraId="31968BB0">
      <w:pPr>
        <w:pStyle w:val="20"/>
      </w:pPr>
      <w:r>
        <w:t xml:space="preserve">Zaposlenici Vrtića dužni su sa dugotrajnom imovinom postupati pažnjom dobrog gospodara.  </w:t>
      </w:r>
    </w:p>
    <w:p w14:paraId="7779ACC9">
      <w:pPr>
        <w:pStyle w:val="20"/>
      </w:pPr>
      <w:r>
        <w:t>Zaposlenici se zadužuju za imovinu koju koriste, kao što je prijenosno računalo, pisač, plastifikator, cd-playeri, projektor, radna i zaštitna odjeća i ostalo.</w:t>
      </w:r>
    </w:p>
    <w:p w14:paraId="11E690A9">
      <w:pPr>
        <w:pStyle w:val="20"/>
      </w:pPr>
      <w:r>
        <w:t xml:space="preserve">Prilikom popisa imovine zaposlenici zaduženi za rukovanje imovinom su dužni sudjelovati u popisu, na način da povjerenstvo za popis imovine obavijeste o svim promjenama u raspolaganju imovinom za koju su zaduženi. </w:t>
      </w:r>
    </w:p>
    <w:p w14:paraId="55485DC3">
      <w:pPr>
        <w:pStyle w:val="22"/>
      </w:pPr>
    </w:p>
    <w:p w14:paraId="5441EEC9">
      <w:pPr>
        <w:pStyle w:val="20"/>
      </w:pPr>
      <w:r>
        <w:t xml:space="preserve">Članovi povjerenstva za popis ne mogu biti zaposlenici koji rukovode materijalnim i novčanim vrijednostima koje su predmet popisa te zaposlenici koji obavljaju kontrolu i nadzor, osim u slučaju izvanrednog popisa kada mogu biti članovi povjerenstva. </w:t>
      </w:r>
    </w:p>
    <w:p w14:paraId="007272E9">
      <w:pPr>
        <w:pStyle w:val="20"/>
      </w:pPr>
      <w:r>
        <w:t xml:space="preserve">Za popis potraživanja i obveza ne mogu biti imenovane osobe koje vode analitičku evidenciju o tim potraživanjima i obvezama, osim u slučaju izvanrednog popisa kada mogu biti članovi povjerenstva. </w:t>
      </w:r>
    </w:p>
    <w:p w14:paraId="41AEF89C">
      <w:pPr>
        <w:pStyle w:val="22"/>
      </w:pPr>
    </w:p>
    <w:p w14:paraId="708459B4">
      <w:pPr>
        <w:pStyle w:val="20"/>
      </w:pPr>
      <w:r>
        <w:t>Odlukom o popisu imovine ravnatelj Vrtića imenuje povjerenstvo za popis imovine, a po potrebi i više povjerenstava za svaku vrstu imovine zasebno.</w:t>
      </w:r>
    </w:p>
    <w:p w14:paraId="20723C50">
      <w:pPr>
        <w:pStyle w:val="20"/>
      </w:pPr>
      <w:r>
        <w:t xml:space="preserve">Povjerenstvo se sastoji od predsjednika i dva člana, a prema potrebi može ih biti i više, ali ih mora biti neparan broj.  </w:t>
      </w:r>
    </w:p>
    <w:p w14:paraId="59808E85">
      <w:pPr>
        <w:pStyle w:val="20"/>
      </w:pPr>
      <w:r>
        <w:t xml:space="preserve">Članovi povjerenstva odgovorni su za istinitost ustanovljenog stanja imovine i obveza, točno i pravilno sastavljanje i ispunjavanje popisnih lista, pravodobno obavljanje popisa, te pravodobno i točno sastavljanje izvješća u pisanom obliku.  </w:t>
      </w:r>
    </w:p>
    <w:p w14:paraId="33E86CC4">
      <w:pPr>
        <w:pStyle w:val="22"/>
      </w:pPr>
    </w:p>
    <w:p w14:paraId="76A17CFB">
      <w:pPr>
        <w:pStyle w:val="20"/>
      </w:pPr>
      <w:r>
        <w:t xml:space="preserve">Povjerenstvo za popis imovine i obveza mora popisati svu imovinu i obveze iz članka 3. ovog Pravilnika sa stanjem na dan 31. prosinca tekuće godine.  </w:t>
      </w:r>
    </w:p>
    <w:p w14:paraId="2C44AAF6">
      <w:pPr>
        <w:pStyle w:val="22"/>
      </w:pPr>
    </w:p>
    <w:p w14:paraId="615F69EB">
      <w:pPr>
        <w:pStyle w:val="20"/>
      </w:pPr>
      <w:r>
        <w:t xml:space="preserve">Popis se obavlja fizičkim utvrđivanjem stvarnog stanja i imovine i obveza na licu mjesta koristeći uobičajene metode brojanja, mjerenja, vaganja, procjenjivanja, obračunavanja i slično.  </w:t>
      </w:r>
    </w:p>
    <w:p w14:paraId="246F524F">
      <w:pPr>
        <w:pStyle w:val="22"/>
      </w:pPr>
    </w:p>
    <w:p w14:paraId="5DB576CA">
      <w:pPr>
        <w:pStyle w:val="20"/>
      </w:pPr>
      <w:r>
        <w:t xml:space="preserve">Zadaci povjerenstva prilikom popisa nefinancijske imovine su: </w:t>
      </w:r>
    </w:p>
    <w:p w14:paraId="159B1846">
      <w:pPr>
        <w:numPr>
          <w:ilvl w:val="0"/>
          <w:numId w:val="3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obaviti popis sredstava koja su predmet popisa, odnosno utvrditi količinu, vrstu i vrijednost </w:t>
      </w:r>
    </w:p>
    <w:p w14:paraId="79FEF6B0">
      <w:pPr>
        <w:numPr>
          <w:ilvl w:val="0"/>
          <w:numId w:val="3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u popisne liste unijeti podatke o stvarnom stanju (količinsko stanje utvrđeno popisom), knjigovodstvenom stanju (količinski i vrijednosno), te utvrditi manjkove i viškove (količinski i vrijednosno) </w:t>
      </w:r>
    </w:p>
    <w:p w14:paraId="454AC628">
      <w:pPr>
        <w:numPr>
          <w:ilvl w:val="0"/>
          <w:numId w:val="3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u popisnim listama posebno iskazati sredstva koja više nisu za uporabu, odnosno koja treba rashodovati sa stanjem na dan 31. prosinca tekuće godine ( za rashod se predlaže imovina koja je oštećena i popravak nije moguć ili je popravak neisplativ, te imovina koja je uništena, istrošena, zastarjela i nije u upotrebi) </w:t>
      </w:r>
    </w:p>
    <w:p w14:paraId="60A0CF0F">
      <w:pPr>
        <w:numPr>
          <w:ilvl w:val="0"/>
          <w:numId w:val="3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sastaviti izvještaj o obavljenom popisu.  </w:t>
      </w:r>
    </w:p>
    <w:p w14:paraId="14346D2F">
      <w:pPr>
        <w:pStyle w:val="22"/>
      </w:pPr>
    </w:p>
    <w:p w14:paraId="3A4D6BC8">
      <w:pPr>
        <w:pStyle w:val="20"/>
      </w:pPr>
      <w:r>
        <w:t xml:space="preserve">Pri popisu nefinancijske imovine koriste se liste koje se sastavljaju za svako popisno mjesto te sadrže obavezno sljedeće podatke: </w:t>
      </w:r>
    </w:p>
    <w:p w14:paraId="472CAAFA">
      <w:pPr>
        <w:numPr>
          <w:ilvl w:val="0"/>
          <w:numId w:val="5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mjesto popisa </w:t>
      </w:r>
    </w:p>
    <w:p w14:paraId="17A81210">
      <w:pPr>
        <w:numPr>
          <w:ilvl w:val="0"/>
          <w:numId w:val="5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datum popisa </w:t>
      </w:r>
    </w:p>
    <w:p w14:paraId="25C9B01A">
      <w:pPr>
        <w:numPr>
          <w:ilvl w:val="0"/>
          <w:numId w:val="5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naziv i vrstu imovine </w:t>
      </w:r>
    </w:p>
    <w:p w14:paraId="4575A971">
      <w:pPr>
        <w:numPr>
          <w:ilvl w:val="0"/>
          <w:numId w:val="5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inventarni broj  </w:t>
      </w:r>
    </w:p>
    <w:p w14:paraId="4DF21F47">
      <w:pPr>
        <w:numPr>
          <w:ilvl w:val="0"/>
          <w:numId w:val="5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jedinicu mjere i količine  </w:t>
      </w:r>
    </w:p>
    <w:p w14:paraId="5CA6CEB8">
      <w:pPr>
        <w:numPr>
          <w:ilvl w:val="0"/>
          <w:numId w:val="5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vrijednost (knjigovodstvena/procijenjena)  </w:t>
      </w:r>
    </w:p>
    <w:p w14:paraId="06554037">
      <w:pPr>
        <w:numPr>
          <w:ilvl w:val="0"/>
          <w:numId w:val="5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podatke o primjedbama (ispravna, oštećena, neupotrebljiva imovina i sl.)  </w:t>
      </w:r>
    </w:p>
    <w:p w14:paraId="0F8D2984">
      <w:pPr>
        <w:numPr>
          <w:ilvl w:val="0"/>
          <w:numId w:val="5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potpis članova popisnog povjerenstva.  </w:t>
      </w:r>
    </w:p>
    <w:p w14:paraId="357E74E3">
      <w:pPr>
        <w:pStyle w:val="22"/>
      </w:pPr>
    </w:p>
    <w:p w14:paraId="4F56EA54">
      <w:pPr>
        <w:pStyle w:val="20"/>
      </w:pPr>
      <w:r>
        <w:t xml:space="preserve">Zadaci Povjerenstva za popis financijske imovine i obveza su: </w:t>
      </w:r>
    </w:p>
    <w:p w14:paraId="54686564">
      <w:pPr>
        <w:numPr>
          <w:ilvl w:val="0"/>
          <w:numId w:val="6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obaviti popis financijske imovine (novca na računu, potraživanja i obveza)</w:t>
      </w:r>
    </w:p>
    <w:p w14:paraId="4406951B">
      <w:pPr>
        <w:numPr>
          <w:ilvl w:val="0"/>
          <w:numId w:val="6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u popisne liste unijeti podatke na temelju stanja u knjigovodstvenim evidencijama na dan 31. prosinca tekuće godine  </w:t>
      </w:r>
    </w:p>
    <w:p w14:paraId="4B92F63D">
      <w:pPr>
        <w:numPr>
          <w:ilvl w:val="0"/>
          <w:numId w:val="6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utvrditi viškove i manjkove  </w:t>
      </w:r>
    </w:p>
    <w:p w14:paraId="5FFD5C4C">
      <w:pPr>
        <w:numPr>
          <w:ilvl w:val="0"/>
          <w:numId w:val="6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sastaviti izvještaj o obavljenom popisu.  </w:t>
      </w:r>
    </w:p>
    <w:p w14:paraId="15CABD28">
      <w:pPr>
        <w:pStyle w:val="22"/>
      </w:pPr>
    </w:p>
    <w:p w14:paraId="1DC77070">
      <w:pPr>
        <w:pStyle w:val="20"/>
      </w:pPr>
      <w:r>
        <w:t xml:space="preserve">Pri utvrđivanju količine i vrste nefinancijske imovine treba posebno popisati vlastitu imovinu, a posebno tuđu koja se nalazi na korištenju u Vrtiću. </w:t>
      </w:r>
    </w:p>
    <w:p w14:paraId="0731486A">
      <w:pPr>
        <w:pStyle w:val="20"/>
      </w:pPr>
      <w:r>
        <w:t xml:space="preserve">Tuđu imovinu treba iskazati u posebnim popisnim listama i o njihovom stanju obavijestiti njihove vlasnike.  </w:t>
      </w:r>
    </w:p>
    <w:p w14:paraId="08B3C82D">
      <w:pPr>
        <w:pStyle w:val="20"/>
      </w:pPr>
      <w:r>
        <w:t xml:space="preserve">Oštećenu ili neupotrebljivu imovinu treba popisati u posebnim popisnim listama.  </w:t>
      </w:r>
    </w:p>
    <w:p w14:paraId="74132CA1">
      <w:pPr>
        <w:spacing w:after="0"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Prilikom utvrđivanja upotrebljivosti informatičke, računalne i komunikacijske opreme, povjerenstvo je dužno ishoditi stručno mišljenje osobe koja se bavi održavanjem ili prodajom iste. </w:t>
      </w:r>
    </w:p>
    <w:p w14:paraId="1EA404DE">
      <w:pPr>
        <w:pStyle w:val="22"/>
      </w:pPr>
    </w:p>
    <w:p w14:paraId="155B6D2D">
      <w:pPr>
        <w:pStyle w:val="20"/>
      </w:pPr>
      <w:r>
        <w:t xml:space="preserve">Povjerenstvo za popis na temelju svih popisnih lista sastavlja konačan izvještaj o popisu i dostavlja ga ravnatelju Vrtića. Uz izvještaje treba priložiti i popisne liste, izjave odgovornih osoba, obrazloženja nastalih razlika kao i prijedloge o otpisu te druga zapažanja gleda popisa. </w:t>
      </w:r>
    </w:p>
    <w:p w14:paraId="6F78177C">
      <w:pPr>
        <w:pStyle w:val="20"/>
      </w:pPr>
      <w:r>
        <w:t xml:space="preserve">Povjerenstvo je dužno predložiti ravnatelju Vrtića donošenje Odluke o rashodovanju imovine iz članka 11. ovog Pravilnika. Prijedlog treba sadržavati popis imovine koju treba rashodovati te način rashodovanja:  </w:t>
      </w:r>
    </w:p>
    <w:p w14:paraId="6D29DC77">
      <w:pPr>
        <w:numPr>
          <w:ilvl w:val="0"/>
          <w:numId w:val="6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uništenjem, ukoliko nije za upotrebu niti se može pokloniti ili prodati  </w:t>
      </w:r>
    </w:p>
    <w:p w14:paraId="79FBBB23">
      <w:pPr>
        <w:numPr>
          <w:ilvl w:val="0"/>
          <w:numId w:val="6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otuđenjem prodajom, prodajom kao otpad, darovanjem ili zbrinjavanjem kod ovlaštenog sakupljača otpada.  </w:t>
      </w:r>
    </w:p>
    <w:p w14:paraId="49471BEF">
      <w:pPr>
        <w:pStyle w:val="22"/>
      </w:pPr>
    </w:p>
    <w:p w14:paraId="48078128">
      <w:pPr>
        <w:pStyle w:val="20"/>
      </w:pPr>
      <w:r>
        <w:t>Rashodovana materijalna imovina isknjižuje se iz evidencije:</w:t>
      </w:r>
    </w:p>
    <w:p w14:paraId="62F2B37F">
      <w:pPr>
        <w:numPr>
          <w:ilvl w:val="0"/>
          <w:numId w:val="6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nakon uništenja na temelju zapisnika o uništenju ili potvrde o predaji za zbrinjavanje kod ovlaštenog sakupljača otpada </w:t>
      </w:r>
    </w:p>
    <w:p w14:paraId="13DCF26B">
      <w:pPr>
        <w:numPr>
          <w:ilvl w:val="0"/>
          <w:numId w:val="6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nakon prodaje na temelju ugovora o prodaji ili izlaznog računa </w:t>
      </w:r>
    </w:p>
    <w:p w14:paraId="1E4CC033">
      <w:pPr>
        <w:numPr>
          <w:ilvl w:val="0"/>
          <w:numId w:val="6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nakon donacije (ustupanje bez naknade) na temelju dokumenata o primopredaji materijalne imovine.  </w:t>
      </w:r>
    </w:p>
    <w:p w14:paraId="01762964">
      <w:pPr>
        <w:pStyle w:val="22"/>
      </w:pPr>
    </w:p>
    <w:p w14:paraId="2D1E9208">
      <w:pPr>
        <w:pStyle w:val="20"/>
      </w:pPr>
      <w:r>
        <w:t xml:space="preserve">Popis financijske imovine i obveza obavlja se na temelju stanja u knjigovodstvenim evidencijama na dan 31. prosinca tekuće godine.  </w:t>
      </w:r>
    </w:p>
    <w:p w14:paraId="08D5194C">
      <w:pPr>
        <w:pStyle w:val="20"/>
      </w:pPr>
      <w:r>
        <w:t xml:space="preserve">Popis novca na žiro računu popisuje se na temelju izvoda banke sa stanjem na dan 31. prosinca. </w:t>
      </w:r>
    </w:p>
    <w:p w14:paraId="72383629">
      <w:pPr>
        <w:pStyle w:val="20"/>
      </w:pPr>
      <w:r>
        <w:t xml:space="preserve">Popis udjela, zajmova i vrijednosnih papira obavlja se uvidom u ugovore, izvode i ostalu dokumentaciju za depozite, pologe, zajmove i vrijednosne papire. </w:t>
      </w:r>
    </w:p>
    <w:p w14:paraId="7182B844">
      <w:pPr>
        <w:pStyle w:val="20"/>
      </w:pPr>
      <w:r>
        <w:t xml:space="preserve">Popis potraživanja i obveza obavlja se prema stanju u poslovnim knjigama i postojanju vjerodostojne dokumentacije. </w:t>
      </w:r>
    </w:p>
    <w:p w14:paraId="3EE40A8E">
      <w:pPr>
        <w:pStyle w:val="20"/>
      </w:pPr>
      <w:r>
        <w:t xml:space="preserve">Povjerenstvo za popis financijske imovine i obveza iskazuje u posebnim listama potraživanja i obveze za koje ne postoje uredne isprave.  </w:t>
      </w:r>
    </w:p>
    <w:p w14:paraId="4D75BB2F">
      <w:pPr>
        <w:pStyle w:val="20"/>
      </w:pPr>
      <w:r>
        <w:t xml:space="preserve">Povjerenstvo za popis financijske imovine i obveza provjerava iskazana potraživanja i obveze te ih razvrstava na: </w:t>
      </w:r>
    </w:p>
    <w:p w14:paraId="389ACC7F">
      <w:pPr>
        <w:numPr>
          <w:ilvl w:val="0"/>
          <w:numId w:val="6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neosporna: otvorena dospjela i nedospjela </w:t>
      </w:r>
    </w:p>
    <w:p w14:paraId="25A3F67C">
      <w:pPr>
        <w:numPr>
          <w:ilvl w:val="0"/>
          <w:numId w:val="6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sumnjiva i sporna potraživanja (dospjela, ali nenaplativa u cijelosti, za koje je izdano rješenje o ovrsi) koja se predlažu za ispravak vrijednosti </w:t>
      </w:r>
    </w:p>
    <w:p w14:paraId="1E33BE6D">
      <w:pPr>
        <w:numPr>
          <w:ilvl w:val="0"/>
          <w:numId w:val="6"/>
        </w:numPr>
        <w:spacing w:after="0" w:line="276" w:lineRule="auto"/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zastarjela koja se predlažu za otpis (priloženi dokaz o zastari).  </w:t>
      </w:r>
    </w:p>
    <w:p w14:paraId="421D2B19">
      <w:pPr>
        <w:pStyle w:val="22"/>
      </w:pPr>
    </w:p>
    <w:p w14:paraId="740B2D34">
      <w:pPr>
        <w:pStyle w:val="20"/>
      </w:pPr>
      <w:r>
        <w:t xml:space="preserve">Na temelju izvještaja povjerenstva o popisu ravnatelj Vrtića odlučuje o načinu likvidacije utvrđenih manjkova, načinu knjiženja utvrđenih viškova, o otpisu predloženih potraživanja i obveza, o rashodovanju sredstava i opreme te o mjerama protiv osoba odgovornih za manjkove, oštećenja, neusklađenost knjigovodstvenog i stvarnog stanja, zastaru i nenaplativost potraživanja i slično. </w:t>
      </w:r>
    </w:p>
    <w:p w14:paraId="6BD21CE6">
      <w:pPr>
        <w:pStyle w:val="22"/>
      </w:pPr>
    </w:p>
    <w:p w14:paraId="76AB8AE1">
      <w:pPr>
        <w:pStyle w:val="20"/>
      </w:pPr>
      <w:r>
        <w:t xml:space="preserve">Svi zaposlenici dužni su prilikom nabavke nove imovine, bez obzira na način stjecanja imovine (kupnja, darovanje) o istom obavijestiti zaposlenika zaduženog za evidenciju imovine koji je dužan novo nabavljenoj opremi dodijeliti inventarni broj i izvršiti unos nove opreme u evidenciju osnovnih sredstava, opreme i sitnog inventara Dječjeg vrtića „Magnolija“. </w:t>
      </w:r>
    </w:p>
    <w:p w14:paraId="2DFBC629">
      <w:pPr>
        <w:pStyle w:val="22"/>
      </w:pPr>
    </w:p>
    <w:p w14:paraId="2EEDE671">
      <w:pPr>
        <w:pStyle w:val="20"/>
      </w:pPr>
      <w:r>
        <w:t xml:space="preserve">Na sve ostalo što nije uređeno ovim Pravilnikom neposredno se primjenjuju odredbe zakonskih i podzakonskih propisa koji uređuju ovu materiju. </w:t>
      </w:r>
    </w:p>
    <w:p w14:paraId="77AE44D4">
      <w:pPr>
        <w:pStyle w:val="22"/>
      </w:pPr>
    </w:p>
    <w:p w14:paraId="24D1296F">
      <w:pPr>
        <w:pStyle w:val="20"/>
      </w:pPr>
      <w:r>
        <w:t>Ovaj Pravilnik stupa na snagu danom donošenja, a objavljuje se na oglasnoj ploči i mrežnoj stranici Dječjeg vrtića „Magnolija“.</w:t>
      </w:r>
    </w:p>
    <w:p w14:paraId="7BAF6A50">
      <w:pPr>
        <w:spacing w:after="0" w:line="276" w:lineRule="auto"/>
        <w:ind w:firstLine="708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138E6D23">
      <w:pPr>
        <w:spacing w:after="0" w:line="276" w:lineRule="auto"/>
        <w:ind w:firstLine="708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3245F9A9">
      <w:pPr>
        <w:spacing w:after="0" w:line="276" w:lineRule="auto"/>
        <w:ind w:firstLine="708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491FF5C7">
      <w:pPr>
        <w:spacing w:after="0" w:line="276" w:lineRule="auto"/>
        <w:ind w:firstLine="708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01965705">
      <w:pPr>
        <w:spacing w:after="0" w:line="276" w:lineRule="auto"/>
        <w:rPr>
          <w:rFonts w:hint="default" w:eastAsia="Times New Roman" w:cstheme="minorHAnsi"/>
          <w:sz w:val="24"/>
          <w:szCs w:val="24"/>
          <w:lang w:val="en-US"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KLASA:</w:t>
      </w:r>
      <w:r>
        <w:rPr>
          <w:rFonts w:hint="default" w:eastAsia="Times New Roman" w:cstheme="minorHAnsi"/>
          <w:sz w:val="24"/>
          <w:szCs w:val="24"/>
          <w:lang w:val="en-US" w:eastAsia="hr-HR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601-01/26-02/06</w:t>
      </w:r>
      <w:bookmarkStart w:id="0" w:name="_GoBack"/>
      <w:bookmarkEnd w:id="0"/>
    </w:p>
    <w:p w14:paraId="7F950FCA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URBROJ: </w:t>
      </w:r>
      <w:r>
        <w:rPr>
          <w:rFonts w:ascii="SimSun" w:hAnsi="SimSun" w:eastAsia="SimSun" w:cs="SimSun"/>
          <w:sz w:val="24"/>
          <w:szCs w:val="24"/>
        </w:rPr>
        <w:t>2109-26-1-02-26-1</w:t>
      </w:r>
    </w:p>
    <w:p w14:paraId="148BA256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Pribislavec, 23. srpnja 2026. godine</w:t>
      </w:r>
    </w:p>
    <w:p w14:paraId="14E9A133">
      <w:pPr>
        <w:spacing w:before="100" w:beforeAutospacing="1" w:after="100" w:afterAutospacing="1"/>
        <w:jc w:val="right"/>
        <w:rPr>
          <w:rFonts w:ascii="Calibri" w:hAnsi="Calibri" w:eastAsia="Calibri" w:cs="Calibri"/>
          <w:b/>
          <w:bCs/>
          <w:sz w:val="24"/>
          <w:szCs w:val="24"/>
        </w:rPr>
      </w:pPr>
    </w:p>
    <w:p w14:paraId="4BDF761D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bCs/>
          <w:sz w:val="24"/>
          <w:szCs w:val="24"/>
        </w:rPr>
        <w:t>PREDSJEDNICA UPRAVNOG VIJEĆA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Dječjeg vrtića „Magnolija“</w:t>
      </w:r>
    </w:p>
    <w:p w14:paraId="56C30B34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20955</wp:posOffset>
            </wp:positionV>
            <wp:extent cx="1123950" cy="54102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sz w:val="24"/>
          <w:szCs w:val="24"/>
        </w:rPr>
        <w:t>____________________</w:t>
      </w:r>
      <w:r>
        <w:rPr>
          <w:rFonts w:ascii="Calibri" w:hAnsi="Calibri" w:eastAsia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doc. dr. sc. Dina Korent</w:t>
      </w:r>
    </w:p>
    <w:p w14:paraId="749FDBA9">
      <w:pPr>
        <w:spacing w:line="276" w:lineRule="auto"/>
        <w:jc w:val="right"/>
        <w:rPr>
          <w:rFonts w:cstheme="minorHAnsi"/>
          <w:b/>
          <w:bCs/>
          <w:sz w:val="24"/>
          <w:szCs w:val="24"/>
        </w:rPr>
      </w:pPr>
    </w:p>
    <w:p w14:paraId="1391AD79">
      <w:pPr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RAVNATELJICA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 xml:space="preserve">Dječjeg vrtića „Magnolija“ </w:t>
      </w:r>
    </w:p>
    <w:p w14:paraId="56B8BDCB">
      <w:pPr>
        <w:spacing w:after="0"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14:ligatures w14:val="none"/>
        </w:rPr>
        <w:drawing>
          <wp:inline distT="0" distB="0" distL="0" distR="0">
            <wp:extent cx="1591945" cy="629285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714" cy="63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5EF7D">
      <w:pPr>
        <w:spacing w:after="0"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</w:t>
      </w:r>
    </w:p>
    <w:p w14:paraId="63D1409C">
      <w:pPr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Dina Barić Baksa, bacc. praesc. educ.</w:t>
      </w:r>
      <w:r>
        <w:rPr>
          <w:rFonts w:cstheme="minorHAnsi"/>
        </w:rPr>
        <w:t xml:space="preserve"> </w:t>
      </w:r>
    </w:p>
    <w:p w14:paraId="30AE15ED">
      <w:pPr>
        <w:spacing w:after="0" w:line="276" w:lineRule="auto"/>
        <w:jc w:val="both"/>
        <w:rPr>
          <w:rFonts w:cstheme="minorHAnsi"/>
          <w:kern w:val="0"/>
          <w14:ligatures w14:val="none"/>
        </w:rPr>
      </w:pPr>
    </w:p>
    <w:p w14:paraId="218BEE01">
      <w:pPr>
        <w:spacing w:after="0" w:line="276" w:lineRule="auto"/>
        <w:rPr>
          <w:rFonts w:cstheme="minorHAnsi"/>
          <w:kern w:val="0"/>
          <w14:ligatures w14:val="none"/>
        </w:rPr>
      </w:pPr>
    </w:p>
    <w:p w14:paraId="43CBAD9F">
      <w:pPr>
        <w:spacing w:line="276" w:lineRule="auto"/>
        <w:jc w:val="both"/>
        <w:rPr>
          <w:rFonts w:cstheme="minorHAnsi"/>
          <w:sz w:val="24"/>
          <w:szCs w:val="24"/>
        </w:rPr>
      </w:pP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tka Text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82292"/>
      <w:docPartObj>
        <w:docPartGallery w:val="AutoText"/>
      </w:docPartObj>
    </w:sdtPr>
    <w:sdtContent>
      <w:p w14:paraId="68E62391">
        <w:pPr>
          <w:pStyle w:val="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EF5494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4A3EC9"/>
    <w:multiLevelType w:val="multilevel"/>
    <w:tmpl w:val="164A3EC9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Sitka Text" w:hAnsi="Sitka Tex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BB9366A"/>
    <w:multiLevelType w:val="multilevel"/>
    <w:tmpl w:val="1BB9366A"/>
    <w:lvl w:ilvl="0" w:tentative="0">
      <w:start w:val="155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CFF33BD"/>
    <w:multiLevelType w:val="multilevel"/>
    <w:tmpl w:val="3CFF33BD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Sitka Text" w:hAnsi="Sitka Tex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665493E"/>
    <w:multiLevelType w:val="multilevel"/>
    <w:tmpl w:val="4665493E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Sitka Text" w:hAnsi="Sitka Tex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9DB6AB0"/>
    <w:multiLevelType w:val="multilevel"/>
    <w:tmpl w:val="59DB6AB0"/>
    <w:lvl w:ilvl="0" w:tentative="0">
      <w:start w:val="1"/>
      <w:numFmt w:val="decimal"/>
      <w:pStyle w:val="22"/>
      <w:suff w:val="space"/>
      <w:lvlText w:val="Članak %1."/>
      <w:lvlJc w:val="left"/>
      <w:pPr>
        <w:ind w:left="0" w:firstLine="0"/>
      </w:pPr>
    </w:lvl>
    <w:lvl w:ilvl="1" w:tentative="0">
      <w:start w:val="1"/>
      <w:numFmt w:val="decimal"/>
      <w:pStyle w:val="20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 w:tentative="0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5A03641E"/>
    <w:multiLevelType w:val="multilevel"/>
    <w:tmpl w:val="5A03641E"/>
    <w:lvl w:ilvl="0" w:tentative="0">
      <w:start w:val="1"/>
      <w:numFmt w:val="upperRoman"/>
      <w:pStyle w:val="17"/>
      <w:lvlText w:val="%1."/>
      <w:lvlJc w:val="right"/>
      <w:pPr>
        <w:ind w:left="720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63"/>
    <w:rsid w:val="000523B4"/>
    <w:rsid w:val="000E09A0"/>
    <w:rsid w:val="000F50D6"/>
    <w:rsid w:val="000F7863"/>
    <w:rsid w:val="0015506A"/>
    <w:rsid w:val="001572F5"/>
    <w:rsid w:val="00162443"/>
    <w:rsid w:val="0016785B"/>
    <w:rsid w:val="00181185"/>
    <w:rsid w:val="00194B9B"/>
    <w:rsid w:val="001A3F17"/>
    <w:rsid w:val="001A7F48"/>
    <w:rsid w:val="00265701"/>
    <w:rsid w:val="0027700A"/>
    <w:rsid w:val="00277AB0"/>
    <w:rsid w:val="00286B28"/>
    <w:rsid w:val="002B3DE5"/>
    <w:rsid w:val="002C27ED"/>
    <w:rsid w:val="002D4E5E"/>
    <w:rsid w:val="0031708B"/>
    <w:rsid w:val="0033372F"/>
    <w:rsid w:val="003437BA"/>
    <w:rsid w:val="003731D7"/>
    <w:rsid w:val="00387C7D"/>
    <w:rsid w:val="003B1733"/>
    <w:rsid w:val="003C1DD5"/>
    <w:rsid w:val="003D1769"/>
    <w:rsid w:val="003E5DA5"/>
    <w:rsid w:val="00422927"/>
    <w:rsid w:val="00436D16"/>
    <w:rsid w:val="004634A0"/>
    <w:rsid w:val="004A5F15"/>
    <w:rsid w:val="004E0C7B"/>
    <w:rsid w:val="005349C7"/>
    <w:rsid w:val="005408BD"/>
    <w:rsid w:val="00561CCF"/>
    <w:rsid w:val="0056461A"/>
    <w:rsid w:val="00585D9C"/>
    <w:rsid w:val="00586A1D"/>
    <w:rsid w:val="005B09DA"/>
    <w:rsid w:val="005B4EA1"/>
    <w:rsid w:val="00600A57"/>
    <w:rsid w:val="0068550A"/>
    <w:rsid w:val="0070389F"/>
    <w:rsid w:val="00740101"/>
    <w:rsid w:val="00750EAA"/>
    <w:rsid w:val="00784DDD"/>
    <w:rsid w:val="007946CB"/>
    <w:rsid w:val="00826126"/>
    <w:rsid w:val="00886CD9"/>
    <w:rsid w:val="008D61F3"/>
    <w:rsid w:val="008F5D76"/>
    <w:rsid w:val="0091662F"/>
    <w:rsid w:val="0093782F"/>
    <w:rsid w:val="00970437"/>
    <w:rsid w:val="0098613D"/>
    <w:rsid w:val="00A13A2C"/>
    <w:rsid w:val="00A67D03"/>
    <w:rsid w:val="00A772EC"/>
    <w:rsid w:val="00A90C72"/>
    <w:rsid w:val="00B465FE"/>
    <w:rsid w:val="00B556AB"/>
    <w:rsid w:val="00B63F0D"/>
    <w:rsid w:val="00B7699D"/>
    <w:rsid w:val="00B95570"/>
    <w:rsid w:val="00BA21FD"/>
    <w:rsid w:val="00BA7563"/>
    <w:rsid w:val="00C50867"/>
    <w:rsid w:val="00C530A2"/>
    <w:rsid w:val="00C82D03"/>
    <w:rsid w:val="00CA0220"/>
    <w:rsid w:val="00CB3C0F"/>
    <w:rsid w:val="00CE4105"/>
    <w:rsid w:val="00CF1075"/>
    <w:rsid w:val="00D106BA"/>
    <w:rsid w:val="00D27F57"/>
    <w:rsid w:val="00D340C6"/>
    <w:rsid w:val="00D8177B"/>
    <w:rsid w:val="00D81CE3"/>
    <w:rsid w:val="00D87139"/>
    <w:rsid w:val="00D958C4"/>
    <w:rsid w:val="00DD2B47"/>
    <w:rsid w:val="00DD5B4B"/>
    <w:rsid w:val="00DF51A1"/>
    <w:rsid w:val="00E22B85"/>
    <w:rsid w:val="00E4691B"/>
    <w:rsid w:val="00E55663"/>
    <w:rsid w:val="00E71088"/>
    <w:rsid w:val="00E850FF"/>
    <w:rsid w:val="00EC6D09"/>
    <w:rsid w:val="00F07211"/>
    <w:rsid w:val="00F1763B"/>
    <w:rsid w:val="00F35E59"/>
    <w:rsid w:val="00F729FB"/>
    <w:rsid w:val="00F863C1"/>
    <w:rsid w:val="00FD3301"/>
    <w:rsid w:val="351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5"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6"/>
    <w:semiHidden/>
    <w:unhideWhenUsed/>
    <w:uiPriority w:val="99"/>
    <w:rPr>
      <w:b/>
      <w:bCs/>
    </w:rPr>
  </w:style>
  <w:style w:type="paragraph" w:styleId="8">
    <w:name w:val="footer"/>
    <w:basedOn w:val="1"/>
    <w:link w:val="14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9">
    <w:name w:val="header"/>
    <w:basedOn w:val="1"/>
    <w:link w:val="1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character" w:styleId="11">
    <w:name w:val="Strong"/>
    <w:basedOn w:val="3"/>
    <w:qFormat/>
    <w:uiPriority w:val="22"/>
    <w:rPr>
      <w:b/>
      <w:bCs/>
    </w:rPr>
  </w:style>
  <w:style w:type="paragraph" w:styleId="12">
    <w:name w:val="List Paragraph"/>
    <w:basedOn w:val="1"/>
    <w:link w:val="18"/>
    <w:qFormat/>
    <w:uiPriority w:val="34"/>
    <w:pPr>
      <w:ind w:left="720"/>
      <w:contextualSpacing/>
    </w:pPr>
  </w:style>
  <w:style w:type="character" w:customStyle="1" w:styleId="13">
    <w:name w:val="Header Char"/>
    <w:basedOn w:val="3"/>
    <w:link w:val="9"/>
    <w:qFormat/>
    <w:uiPriority w:val="99"/>
    <w:rPr>
      <w:kern w:val="2"/>
      <w14:ligatures w14:val="standardContextual"/>
    </w:rPr>
  </w:style>
  <w:style w:type="character" w:customStyle="1" w:styleId="14">
    <w:name w:val="Footer Char"/>
    <w:basedOn w:val="3"/>
    <w:link w:val="8"/>
    <w:qFormat/>
    <w:uiPriority w:val="99"/>
    <w:rPr>
      <w:kern w:val="2"/>
      <w14:ligatures w14:val="standardContextual"/>
    </w:rPr>
  </w:style>
  <w:style w:type="character" w:customStyle="1" w:styleId="15">
    <w:name w:val="Comment Text Char"/>
    <w:basedOn w:val="3"/>
    <w:link w:val="6"/>
    <w:uiPriority w:val="99"/>
    <w:rPr>
      <w:kern w:val="2"/>
      <w:sz w:val="20"/>
      <w:szCs w:val="20"/>
      <w14:ligatures w14:val="standardContextual"/>
    </w:rPr>
  </w:style>
  <w:style w:type="character" w:customStyle="1" w:styleId="16">
    <w:name w:val="Comment Subject Char"/>
    <w:basedOn w:val="15"/>
    <w:link w:val="7"/>
    <w:semiHidden/>
    <w:uiPriority w:val="99"/>
    <w:rPr>
      <w:b/>
      <w:bCs/>
      <w:kern w:val="2"/>
      <w:sz w:val="20"/>
      <w:szCs w:val="20"/>
      <w14:ligatures w14:val="standardContextual"/>
    </w:rPr>
  </w:style>
  <w:style w:type="paragraph" w:customStyle="1" w:styleId="17">
    <w:name w:val="Glava"/>
    <w:basedOn w:val="12"/>
    <w:link w:val="19"/>
    <w:qFormat/>
    <w:uiPriority w:val="0"/>
    <w:pPr>
      <w:numPr>
        <w:ilvl w:val="0"/>
        <w:numId w:val="1"/>
      </w:numPr>
      <w:spacing w:before="240" w:after="240" w:line="360" w:lineRule="auto"/>
      <w:ind w:left="0" w:firstLine="0"/>
      <w:jc w:val="center"/>
      <w:outlineLvl w:val="1"/>
    </w:pPr>
    <w:rPr>
      <w:rFonts w:cstheme="minorHAnsi"/>
      <w:b/>
      <w:bCs/>
      <w:sz w:val="24"/>
      <w:szCs w:val="24"/>
    </w:rPr>
  </w:style>
  <w:style w:type="character" w:customStyle="1" w:styleId="18">
    <w:name w:val="List Paragraph Char"/>
    <w:basedOn w:val="3"/>
    <w:link w:val="12"/>
    <w:uiPriority w:val="34"/>
    <w:rPr>
      <w:kern w:val="2"/>
      <w14:ligatures w14:val="standardContextual"/>
    </w:rPr>
  </w:style>
  <w:style w:type="character" w:customStyle="1" w:styleId="19">
    <w:name w:val="Glava Char"/>
    <w:basedOn w:val="18"/>
    <w:link w:val="17"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paragraph" w:customStyle="1" w:styleId="20">
    <w:name w:val="Stavak"/>
    <w:basedOn w:val="12"/>
    <w:link w:val="21"/>
    <w:qFormat/>
    <w:uiPriority w:val="0"/>
    <w:pPr>
      <w:numPr>
        <w:ilvl w:val="1"/>
        <w:numId w:val="2"/>
      </w:numPr>
      <w:spacing w:before="120" w:after="0"/>
      <w:ind w:left="0" w:firstLine="227"/>
      <w:jc w:val="both"/>
      <w:outlineLvl w:val="3"/>
    </w:pPr>
    <w:rPr>
      <w:rFonts w:cstheme="minorHAnsi"/>
      <w:sz w:val="24"/>
      <w:szCs w:val="24"/>
    </w:rPr>
  </w:style>
  <w:style w:type="character" w:customStyle="1" w:styleId="21">
    <w:name w:val="Stavak Char"/>
    <w:basedOn w:val="18"/>
    <w:link w:val="20"/>
    <w:uiPriority w:val="0"/>
    <w:rPr>
      <w:rFonts w:cstheme="minorHAnsi"/>
      <w:kern w:val="2"/>
      <w:sz w:val="24"/>
      <w:szCs w:val="24"/>
      <w14:ligatures w14:val="standardContextual"/>
    </w:rPr>
  </w:style>
  <w:style w:type="paragraph" w:customStyle="1" w:styleId="22">
    <w:name w:val="Članak X"/>
    <w:basedOn w:val="12"/>
    <w:link w:val="23"/>
    <w:qFormat/>
    <w:uiPriority w:val="0"/>
    <w:pPr>
      <w:numPr>
        <w:ilvl w:val="0"/>
        <w:numId w:val="2"/>
      </w:numPr>
      <w:spacing w:before="240" w:after="120"/>
      <w:jc w:val="center"/>
      <w:outlineLvl w:val="2"/>
    </w:pPr>
    <w:rPr>
      <w:rFonts w:cstheme="minorHAnsi"/>
      <w:b/>
      <w:bCs/>
      <w:sz w:val="24"/>
      <w:szCs w:val="24"/>
    </w:rPr>
  </w:style>
  <w:style w:type="character" w:customStyle="1" w:styleId="23">
    <w:name w:val="Članak X Char"/>
    <w:basedOn w:val="18"/>
    <w:link w:val="22"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character" w:customStyle="1" w:styleId="24">
    <w:name w:val="Heading 1 Char"/>
    <w:basedOn w:val="3"/>
    <w:link w:val="2"/>
    <w:uiPriority w:val="9"/>
    <w:rPr>
      <w:rFonts w:eastAsiaTheme="majorEastAsia" w:cstheme="majorBidi"/>
      <w:b/>
      <w:kern w:val="2"/>
      <w:sz w:val="28"/>
      <w:szCs w:val="3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na\Desktop\3_Politika\DV%20Magnolija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DV Magnolija_template</Template>
  <Pages>6</Pages>
  <Words>1358</Words>
  <Characters>8354</Characters>
  <Lines>69</Lines>
  <Paragraphs>19</Paragraphs>
  <TotalTime>13</TotalTime>
  <ScaleCrop>false</ScaleCrop>
  <LinksUpToDate>false</LinksUpToDate>
  <CharactersWithSpaces>9730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2026-07-23T22:17:00Z</dcterms:created>
  <dc:creator>Dina</dc:creator>
  <cp:lastModifiedBy>Matija Ladić</cp:lastModifiedBy>
  <dcterms:modified xsi:type="dcterms:W3CDTF">2026-08-11T11:58:52Z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D0974E5523D34EA69C4881746E10202B_12</vt:lpwstr>
  </property>
</Properties>
</file>