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20628">
      <w:pPr>
        <w:spacing w:after="0" w:line="276" w:lineRule="auto"/>
        <w:rPr>
          <w:rFonts w:ascii="Calibri" w:hAnsi="Calibri" w:eastAsia="Times New Roman" w:cs="Calibri"/>
          <w:kern w:val="0"/>
          <w:sz w:val="24"/>
          <w:szCs w:val="24"/>
          <w:lang w:eastAsia="hr-HR"/>
          <w14:ligatures w14:val="none"/>
        </w:rPr>
      </w:pPr>
      <w:r>
        <w:rPr>
          <w:rFonts w:ascii="Calibri" w:hAnsi="Calibri" w:eastAsia="Times New Roman" w:cs="Calibri"/>
          <w:kern w:val="0"/>
          <w:sz w:val="24"/>
          <w:szCs w:val="24"/>
          <w:lang w:eastAsia="hr-HR"/>
          <w14:ligatures w14:val="none"/>
        </w:rPr>
        <w:drawing>
          <wp:inline distT="0" distB="0" distL="0" distR="0">
            <wp:extent cx="1432560" cy="1074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32560" cy="1074420"/>
                    </a:xfrm>
                    <a:prstGeom prst="rect">
                      <a:avLst/>
                    </a:prstGeom>
                    <a:noFill/>
                    <a:ln>
                      <a:noFill/>
                    </a:ln>
                  </pic:spPr>
                </pic:pic>
              </a:graphicData>
            </a:graphic>
          </wp:inline>
        </w:drawing>
      </w:r>
    </w:p>
    <w:p w14:paraId="402311AF">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REPUBLIKA HRVATSKA</w:t>
      </w:r>
    </w:p>
    <w:p w14:paraId="1C6A48A8">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MEĐIMURSKA ŽUPANIJA</w:t>
      </w:r>
    </w:p>
    <w:p w14:paraId="02DADFD1">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 xml:space="preserve">DJEČJI VRTIĆ „MAGNOLIJA" </w:t>
      </w:r>
    </w:p>
    <w:p w14:paraId="347225F4">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PRIBISLAVEC</w:t>
      </w:r>
    </w:p>
    <w:p w14:paraId="51528784">
      <w:pPr>
        <w:spacing w:after="0" w:line="276" w:lineRule="auto"/>
        <w:rPr>
          <w:rFonts w:ascii="Calibri" w:hAnsi="Calibri" w:eastAsia="Calibri" w:cs="Calibri"/>
          <w:kern w:val="0"/>
          <w:sz w:val="24"/>
          <w:szCs w:val="24"/>
          <w14:ligatures w14:val="none"/>
        </w:rPr>
      </w:pPr>
      <w:r>
        <w:rPr>
          <w:rFonts w:ascii="Calibri" w:hAnsi="Calibri" w:eastAsia="Times New Roman" w:cs="Calibri"/>
          <w:b/>
          <w:bCs/>
          <w:kern w:val="0"/>
          <w:sz w:val="24"/>
          <w:szCs w:val="24"/>
          <w:lang w:eastAsia="hr-HR"/>
          <w14:ligatures w14:val="none"/>
        </w:rPr>
        <w:t>UPRAVNO VIJEĆE</w:t>
      </w:r>
      <w:r>
        <w:rPr>
          <w:rFonts w:ascii="Calibri" w:hAnsi="Calibri" w:eastAsia="Calibri" w:cs="Calibri"/>
          <w:kern w:val="0"/>
          <w:sz w:val="24"/>
          <w:szCs w:val="24"/>
          <w14:ligatures w14:val="none"/>
        </w:rPr>
        <w:br w:type="textWrapping"/>
      </w:r>
    </w:p>
    <w:p w14:paraId="60BBC3F9">
      <w:pPr>
        <w:spacing w:line="276" w:lineRule="auto"/>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Na temelju članaka 26., 35. i 41. stavka 2. Zakona o predškolskom odgoju i obrazovanju („Narodne novine“ br. 10/97, 107/07, 94/13, 98/19, 57/22, 101/23, 145/23, 145/24, 146/25, 22/26 u daljnjem tekstu: Zakon) i članka 49. Statuta Dječjeg vrtića „Magnolija“ (KLASA: 601-01/26-01/05, URBROJ: 2109-26-06-26-06 od 16. travnja 2026. godine), Upravno vijeće Dječjeg vrtića „Magnolija“ (u daljnjem tekstu: Upravno vijeće Vrtića) je na 4. sjednici održanoj 23. srpnja 2026. godine donijelo</w:t>
      </w:r>
    </w:p>
    <w:p w14:paraId="1E5A15D4">
      <w:pPr>
        <w:spacing w:line="276" w:lineRule="auto"/>
        <w:rPr>
          <w:rFonts w:ascii="Calibri" w:hAnsi="Calibri" w:eastAsia="Calibri" w:cs="Calibri"/>
          <w:kern w:val="0"/>
          <w:sz w:val="24"/>
          <w:szCs w:val="24"/>
          <w14:ligatures w14:val="none"/>
        </w:rPr>
      </w:pPr>
    </w:p>
    <w:p w14:paraId="0834E043">
      <w:pPr>
        <w:spacing w:line="276" w:lineRule="auto"/>
        <w:rPr>
          <w:rFonts w:ascii="Calibri" w:hAnsi="Calibri" w:eastAsia="Calibri" w:cs="Calibri"/>
          <w:kern w:val="0"/>
          <w:sz w:val="24"/>
          <w:szCs w:val="24"/>
          <w14:ligatures w14:val="none"/>
        </w:rPr>
      </w:pPr>
    </w:p>
    <w:p w14:paraId="01042EDA">
      <w:pPr>
        <w:keepNext/>
        <w:keepLines/>
        <w:spacing w:after="0" w:line="276" w:lineRule="auto"/>
        <w:jc w:val="center"/>
        <w:outlineLvl w:val="0"/>
        <w:rPr>
          <w:rFonts w:ascii="Calibri" w:hAnsi="Calibri" w:eastAsia="DengXian Light" w:cs="Calibri"/>
          <w:b/>
          <w:kern w:val="0"/>
          <w:sz w:val="28"/>
          <w:szCs w:val="32"/>
          <w14:ligatures w14:val="none"/>
        </w:rPr>
      </w:pPr>
      <w:r>
        <w:rPr>
          <w:rFonts w:ascii="Calibri" w:hAnsi="Calibri" w:eastAsia="DengXian Light" w:cs="Calibri"/>
          <w:b/>
          <w:kern w:val="0"/>
          <w:sz w:val="28"/>
          <w:szCs w:val="32"/>
          <w14:ligatures w14:val="none"/>
        </w:rPr>
        <w:t xml:space="preserve">PRAVILNIK </w:t>
      </w:r>
      <w:r>
        <w:rPr>
          <w:rFonts w:ascii="Calibri" w:hAnsi="Calibri" w:eastAsia="DengXian Light" w:cs="Calibri"/>
          <w:b/>
          <w:kern w:val="0"/>
          <w:sz w:val="28"/>
          <w:szCs w:val="32"/>
          <w14:ligatures w14:val="none"/>
        </w:rPr>
        <w:br w:type="textWrapping"/>
      </w:r>
      <w:r>
        <w:rPr>
          <w:rFonts w:ascii="Calibri" w:hAnsi="Calibri" w:eastAsia="DengXian Light" w:cs="Calibri"/>
          <w:b/>
          <w:kern w:val="0"/>
          <w:sz w:val="28"/>
          <w:szCs w:val="32"/>
          <w14:ligatures w14:val="none"/>
        </w:rPr>
        <w:t xml:space="preserve">o načinu i postupku zapošljavanja i vrednovanju kandidata </w:t>
      </w:r>
      <w:r>
        <w:rPr>
          <w:rFonts w:ascii="Calibri" w:hAnsi="Calibri" w:eastAsia="DengXian Light" w:cs="Calibri"/>
          <w:b/>
          <w:kern w:val="0"/>
          <w:sz w:val="28"/>
          <w:szCs w:val="32"/>
          <w14:ligatures w14:val="none"/>
        </w:rPr>
        <w:br w:type="textWrapping"/>
      </w:r>
      <w:r>
        <w:rPr>
          <w:rFonts w:ascii="Calibri" w:hAnsi="Calibri" w:eastAsia="DengXian Light" w:cs="Calibri"/>
          <w:b/>
          <w:kern w:val="0"/>
          <w:sz w:val="28"/>
          <w:szCs w:val="32"/>
          <w14:ligatures w14:val="none"/>
        </w:rPr>
        <w:t>Dječjeg vrtića „Magnolija“</w:t>
      </w:r>
    </w:p>
    <w:p w14:paraId="18860397">
      <w:pPr>
        <w:spacing w:line="276" w:lineRule="auto"/>
        <w:rPr>
          <w:rFonts w:ascii="Calibri" w:hAnsi="Calibri" w:eastAsia="Calibri" w:cs="Calibri"/>
          <w:b/>
          <w:kern w:val="0"/>
          <w:sz w:val="24"/>
          <w:szCs w:val="24"/>
          <w14:ligatures w14:val="none"/>
        </w:rPr>
      </w:pPr>
    </w:p>
    <w:p w14:paraId="1F35248D">
      <w:pPr>
        <w:spacing w:line="276" w:lineRule="auto"/>
        <w:rPr>
          <w:rFonts w:ascii="Calibri" w:hAnsi="Calibri" w:eastAsia="Calibri" w:cs="Calibri"/>
          <w:b/>
          <w:kern w:val="0"/>
          <w:sz w:val="24"/>
          <w:szCs w:val="24"/>
          <w14:ligatures w14:val="none"/>
        </w:rPr>
      </w:pPr>
    </w:p>
    <w:p w14:paraId="684479A4">
      <w:pPr>
        <w:pStyle w:val="18"/>
      </w:pPr>
      <w:r>
        <w:t xml:space="preserve"> OPĆE ODREDBE</w:t>
      </w:r>
    </w:p>
    <w:p w14:paraId="3C77D0EA">
      <w:pPr>
        <w:pStyle w:val="23"/>
      </w:pPr>
    </w:p>
    <w:p w14:paraId="5B968124">
      <w:pPr>
        <w:pStyle w:val="21"/>
      </w:pPr>
      <w:r>
        <w:t>Ovim Pravilnikom uređuje se način i postupak zapošljavanja u Dječjem vrtiću „Magnolija“  (u daljnjem tekstu: Vrtić), postupak provedbe natječaja, način objave i sadržaj natječaja, postupak procjene i vrednovanja kandidata prijavljenih na natječaj, način rada Povjerenstva za provedbu natječaja kao i druga pitanja vezana za zapošljavanje u Vrtiću.</w:t>
      </w:r>
    </w:p>
    <w:p w14:paraId="37E51DA4">
      <w:pPr>
        <w:spacing w:before="120" w:after="0"/>
        <w:ind w:left="227"/>
        <w:contextualSpacing/>
        <w:jc w:val="both"/>
        <w:rPr>
          <w:rFonts w:ascii="Calibri" w:hAnsi="Calibri" w:eastAsia="Calibri" w:cs="Calibri"/>
          <w:sz w:val="24"/>
          <w:szCs w:val="24"/>
        </w:rPr>
      </w:pPr>
    </w:p>
    <w:p w14:paraId="6BAEF511">
      <w:pPr>
        <w:pStyle w:val="23"/>
      </w:pPr>
    </w:p>
    <w:p w14:paraId="31FC7ADF">
      <w:pPr>
        <w:pStyle w:val="21"/>
      </w:pPr>
      <w:r>
        <w:t>Ovim Pravilnikom osigurava se jednako postupanje i jednaka dostupnost pod jednakim uvjetima svim kandidatima za zapošljavanje u Vrtiću.</w:t>
      </w:r>
    </w:p>
    <w:p w14:paraId="03EF000B">
      <w:pPr>
        <w:pStyle w:val="23"/>
      </w:pPr>
    </w:p>
    <w:p w14:paraId="02E1646A">
      <w:pPr>
        <w:pStyle w:val="21"/>
      </w:pPr>
      <w:r>
        <w:t xml:space="preserve">Odredbe ovog Pravilnika ne primjenjuju se u postupku: </w:t>
      </w:r>
    </w:p>
    <w:p w14:paraId="1BD5F5C0">
      <w:pPr>
        <w:numPr>
          <w:ilvl w:val="0"/>
          <w:numId w:val="3"/>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imenovanja ravnatelja Vrtića, </w:t>
      </w:r>
    </w:p>
    <w:p w14:paraId="7A4185EA">
      <w:pPr>
        <w:numPr>
          <w:ilvl w:val="0"/>
          <w:numId w:val="3"/>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ako se radni odnos zasniva ugovorom o radu bez natječaja sukladno čl. 26. st. 4. Zakona o predškolskom odgoju i obrazovanju.</w:t>
      </w:r>
    </w:p>
    <w:p w14:paraId="3EBB5792">
      <w:pPr>
        <w:pStyle w:val="23"/>
      </w:pPr>
    </w:p>
    <w:p w14:paraId="341B55BB">
      <w:pPr>
        <w:pStyle w:val="21"/>
      </w:pPr>
      <w:r>
        <w:t xml:space="preserve">Izrazi koji se koriste u ovom Pravilniku, a imaju rodno značenje, neutralni su i odnose se na isti način na muški i ženski rod. </w:t>
      </w:r>
    </w:p>
    <w:p w14:paraId="17B4AAAC">
      <w:pPr>
        <w:spacing w:after="0" w:line="276" w:lineRule="auto"/>
        <w:rPr>
          <w:rFonts w:ascii="Calibri" w:hAnsi="Calibri" w:eastAsia="Calibri" w:cs="Calibri"/>
          <w:kern w:val="0"/>
          <w:sz w:val="24"/>
          <w:szCs w:val="24"/>
          <w14:ligatures w14:val="none"/>
        </w:rPr>
      </w:pPr>
    </w:p>
    <w:p w14:paraId="090443C2">
      <w:pPr>
        <w:pStyle w:val="18"/>
      </w:pPr>
      <w:r>
        <w:t xml:space="preserve"> ZASNIVANJE RADNOG ODNOSA </w:t>
      </w:r>
    </w:p>
    <w:p w14:paraId="03A81098">
      <w:pPr>
        <w:pStyle w:val="23"/>
      </w:pPr>
    </w:p>
    <w:p w14:paraId="32744380">
      <w:pPr>
        <w:pStyle w:val="21"/>
      </w:pPr>
      <w:r>
        <w:t>Radni odnos u Vrtiću zasniva se ugovorom o radu na temelju javnog natječaja. Odluku o raspisivanju javnog natječaja donosi Upravno vijeće uz prethodnu suglasnost Osnivača.</w:t>
      </w:r>
    </w:p>
    <w:p w14:paraId="1CDD2C7F">
      <w:pPr>
        <w:pStyle w:val="21"/>
      </w:pPr>
      <w:r>
        <w:rPr>
          <w:rFonts w:ascii="Calibri" w:hAnsi="Calibri" w:eastAsia="Calibri" w:cs="Calibri"/>
          <w:iCs/>
          <w:kern w:val="0"/>
          <w14:ligatures w14:val="none"/>
        </w:rPr>
        <w:t>Iznimno, od stavka 1., radni odnos može se sukladno Zakonu zasnovati ugovorom o radu i bez natječaja:</w:t>
      </w:r>
    </w:p>
    <w:p w14:paraId="6C00BAE8">
      <w:pPr>
        <w:numPr>
          <w:ilvl w:val="0"/>
          <w:numId w:val="4"/>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kada obavljanje poslova ne trpi odgodu, do zasnivanja radnog odnosa na temelju javnog natječaja, ali ne duže od 60 dana, </w:t>
      </w:r>
    </w:p>
    <w:p w14:paraId="730F4E04">
      <w:pPr>
        <w:numPr>
          <w:ilvl w:val="0"/>
          <w:numId w:val="4"/>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kad potreba za obavljanjem poslova ne traje dulje od 60 dana,</w:t>
      </w:r>
    </w:p>
    <w:p w14:paraId="2D30D37C">
      <w:pPr>
        <w:numPr>
          <w:ilvl w:val="0"/>
          <w:numId w:val="4"/>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do punog radnog vremena, s radnikom koji u predškolskoj ustanovi ima zasnovan radni odnos na neodređeno vrijeme u nepunom radnom vremenu,</w:t>
      </w:r>
    </w:p>
    <w:p w14:paraId="452E0268">
      <w:pPr>
        <w:numPr>
          <w:ilvl w:val="0"/>
          <w:numId w:val="4"/>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u slučaju izmjene ugovora o radu radnika koji u predškolskoj ustanovi ima zasnovan radni odnos na neodređeno vrijeme, a kojim se mijenja naziv posla, odnosno popis ili opis poslova,</w:t>
      </w:r>
    </w:p>
    <w:p w14:paraId="111F18C4">
      <w:pPr>
        <w:numPr>
          <w:ilvl w:val="0"/>
          <w:numId w:val="4"/>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te u ostalim slučajevima predviđenima Zakonom.</w:t>
      </w:r>
    </w:p>
    <w:p w14:paraId="7105C787">
      <w:pPr>
        <w:pStyle w:val="23"/>
      </w:pPr>
    </w:p>
    <w:p w14:paraId="05C48C51">
      <w:pPr>
        <w:pStyle w:val="21"/>
      </w:pPr>
      <w:r>
        <w:t xml:space="preserve">Ako se na natječaj za radno mjesto odgojitelja ne javi osoba koja ispunjava uvjete iz Zakona, natječaj će se ponoviti u roku od pet mjeseci, a do zasnivanja radnog odnosa na osnovi ponovljenog natječaja radni se odnos može zasnovati s osobom koja ne ispunjava propisane uvjete. </w:t>
      </w:r>
    </w:p>
    <w:p w14:paraId="6047C615">
      <w:pPr>
        <w:pStyle w:val="21"/>
      </w:pPr>
      <w:r>
        <w:t>S osobom iz stavka 1. ovog članka sklapa se ugovor o radu na određeno vrijeme, do popune radnog mjesta na temelju ponovljenog natječaja s osobom koja ispunjava propisane uvjete, ali ne dulje od pet mjeseci.</w:t>
      </w:r>
    </w:p>
    <w:p w14:paraId="3C86F87C">
      <w:pPr>
        <w:pStyle w:val="23"/>
      </w:pPr>
    </w:p>
    <w:p w14:paraId="20F77342">
      <w:pPr>
        <w:pStyle w:val="21"/>
      </w:pPr>
      <w:r>
        <w:t>Odluku o zasnivanju radnog odnosa donosi Upravno vijeće Vrtića na prijedlog ravnatelja. Iznimno, u slučaju kada je zbog obavljanja poslova koji ne trpe odgodu potrebno zaposliti osobu, o zasnivanju radnog odnosa odlučuje ravnatelj, prema članku 5. st. 3. alineje 1. i 2. ovog Pravilnika.</w:t>
      </w:r>
    </w:p>
    <w:p w14:paraId="3AA4BA14">
      <w:pPr>
        <w:pStyle w:val="21"/>
      </w:pPr>
    </w:p>
    <w:p w14:paraId="2D0FACC1">
      <w:pPr>
        <w:spacing w:line="276" w:lineRule="auto"/>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    </w:t>
      </w:r>
      <w:r>
        <w:rPr>
          <w:rFonts w:ascii="Calibri" w:hAnsi="Calibri" w:eastAsia="Calibri" w:cs="Calibri"/>
          <w:b/>
          <w:bCs/>
          <w:kern w:val="0"/>
          <w:sz w:val="24"/>
          <w:szCs w:val="24"/>
          <w14:ligatures w14:val="none"/>
        </w:rPr>
        <w:t xml:space="preserve">Redoslijed aktivnosti zapošljavanja: </w:t>
      </w:r>
    </w:p>
    <w:tbl>
      <w:tblPr>
        <w:tblStyle w:val="12"/>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5196"/>
        <w:gridCol w:w="3095"/>
      </w:tblGrid>
      <w:tr w14:paraId="0249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trPr>
        <w:tc>
          <w:tcPr>
            <w:tcW w:w="864" w:type="dxa"/>
            <w:shd w:val="clear" w:color="auto" w:fill="FFCCD5"/>
            <w:vAlign w:val="center"/>
          </w:tcPr>
          <w:p w14:paraId="4D6320E9">
            <w:pPr>
              <w:spacing w:after="0" w:line="276" w:lineRule="auto"/>
              <w:jc w:val="center"/>
              <w:rPr>
                <w:rFonts w:ascii="Calibri" w:hAnsi="Calibri" w:eastAsia="Calibri" w:cs="Calibri"/>
                <w:b/>
                <w:kern w:val="0"/>
                <w:sz w:val="24"/>
                <w:szCs w:val="24"/>
                <w:lang w:eastAsia="hr-HR"/>
                <w14:ligatures w14:val="none"/>
              </w:rPr>
            </w:pPr>
            <w:r>
              <w:rPr>
                <w:rFonts w:ascii="Calibri" w:hAnsi="Calibri" w:eastAsia="Calibri" w:cs="Calibri"/>
                <w:b/>
                <w:kern w:val="0"/>
                <w:sz w:val="24"/>
                <w:szCs w:val="24"/>
                <w:lang w:eastAsia="hr-HR"/>
                <w14:ligatures w14:val="none"/>
              </w:rPr>
              <w:t>r. br.</w:t>
            </w:r>
          </w:p>
        </w:tc>
        <w:tc>
          <w:tcPr>
            <w:tcW w:w="5236" w:type="dxa"/>
            <w:shd w:val="clear" w:color="auto" w:fill="FFCCD5"/>
            <w:vAlign w:val="center"/>
          </w:tcPr>
          <w:p w14:paraId="6EF25858">
            <w:pPr>
              <w:spacing w:after="0" w:line="276" w:lineRule="auto"/>
              <w:jc w:val="center"/>
              <w:rPr>
                <w:rFonts w:ascii="Calibri" w:hAnsi="Calibri" w:eastAsia="Calibri" w:cs="Calibri"/>
                <w:b/>
                <w:kern w:val="0"/>
                <w:sz w:val="24"/>
                <w:szCs w:val="24"/>
                <w:lang w:eastAsia="hr-HR"/>
                <w14:ligatures w14:val="none"/>
              </w:rPr>
            </w:pPr>
            <w:r>
              <w:rPr>
                <w:rFonts w:ascii="Calibri" w:hAnsi="Calibri" w:eastAsia="Calibri" w:cs="Calibri"/>
                <w:b/>
                <w:kern w:val="0"/>
                <w:sz w:val="24"/>
                <w:szCs w:val="24"/>
                <w:lang w:eastAsia="hr-HR"/>
                <w14:ligatures w14:val="none"/>
              </w:rPr>
              <w:t>aktivnost</w:t>
            </w:r>
          </w:p>
        </w:tc>
        <w:tc>
          <w:tcPr>
            <w:tcW w:w="3113" w:type="dxa"/>
            <w:shd w:val="clear" w:color="auto" w:fill="FFCCD5"/>
            <w:vAlign w:val="center"/>
          </w:tcPr>
          <w:p w14:paraId="62340FAB">
            <w:pPr>
              <w:spacing w:after="0" w:line="276" w:lineRule="auto"/>
              <w:jc w:val="center"/>
              <w:rPr>
                <w:rFonts w:ascii="Calibri" w:hAnsi="Calibri" w:eastAsia="Calibri" w:cs="Calibri"/>
                <w:b/>
                <w:kern w:val="0"/>
                <w:sz w:val="24"/>
                <w:szCs w:val="24"/>
                <w:lang w:eastAsia="hr-HR"/>
                <w14:ligatures w14:val="none"/>
              </w:rPr>
            </w:pPr>
            <w:r>
              <w:rPr>
                <w:rFonts w:ascii="Calibri" w:hAnsi="Calibri" w:eastAsia="Calibri" w:cs="Calibri"/>
                <w:b/>
                <w:kern w:val="0"/>
                <w:sz w:val="24"/>
                <w:szCs w:val="24"/>
                <w:lang w:eastAsia="hr-HR"/>
                <w14:ligatures w14:val="none"/>
              </w:rPr>
              <w:t>nositelj/i</w:t>
            </w:r>
          </w:p>
        </w:tc>
      </w:tr>
      <w:tr w14:paraId="17E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6B53512C">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765DF227">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Utvrđivanje potrebe za radnikom</w:t>
            </w:r>
          </w:p>
        </w:tc>
        <w:tc>
          <w:tcPr>
            <w:tcW w:w="3113" w:type="dxa"/>
            <w:vAlign w:val="center"/>
          </w:tcPr>
          <w:p w14:paraId="0D1FCBF7">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Ravnatelj</w:t>
            </w:r>
          </w:p>
        </w:tc>
      </w:tr>
      <w:tr w14:paraId="4BD4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195D1E58">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2461C34D">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Suglasnost Osnivača</w:t>
            </w:r>
          </w:p>
        </w:tc>
        <w:tc>
          <w:tcPr>
            <w:tcW w:w="3113" w:type="dxa"/>
            <w:vAlign w:val="center"/>
          </w:tcPr>
          <w:p w14:paraId="558E36B1">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Osnivač</w:t>
            </w:r>
          </w:p>
        </w:tc>
      </w:tr>
      <w:tr w14:paraId="40A0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43FB8A33">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23F1A683">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Odluka o raspisivanju natječaja</w:t>
            </w:r>
          </w:p>
        </w:tc>
        <w:tc>
          <w:tcPr>
            <w:tcW w:w="3113" w:type="dxa"/>
            <w:vAlign w:val="center"/>
          </w:tcPr>
          <w:p w14:paraId="088DBD38">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Upravno vijeće Vrtića</w:t>
            </w:r>
          </w:p>
        </w:tc>
      </w:tr>
      <w:tr w14:paraId="2636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864" w:type="dxa"/>
            <w:vAlign w:val="center"/>
          </w:tcPr>
          <w:p w14:paraId="731A7E0F">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5A6309B2">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 xml:space="preserve">Objava natječaja na mrežnim stranicama i oglasnim pločama Hrvatskog zavoda za zapošljavanje te mrežnim stranicama i oglasnoj ploči Vrtića </w:t>
            </w:r>
          </w:p>
        </w:tc>
        <w:tc>
          <w:tcPr>
            <w:tcW w:w="3113" w:type="dxa"/>
            <w:vAlign w:val="center"/>
          </w:tcPr>
          <w:p w14:paraId="2477E26F">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Ravnatelj</w:t>
            </w:r>
          </w:p>
        </w:tc>
      </w:tr>
      <w:tr w14:paraId="36A0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138B24B4">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5C0BDB2A">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Imenovanje povjerenstva za provedbu natječaja (min.3 člana)</w:t>
            </w:r>
          </w:p>
        </w:tc>
        <w:tc>
          <w:tcPr>
            <w:tcW w:w="3113" w:type="dxa"/>
            <w:vAlign w:val="center"/>
          </w:tcPr>
          <w:p w14:paraId="4DE3C8ED">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 xml:space="preserve">Ravnatelj </w:t>
            </w:r>
          </w:p>
        </w:tc>
      </w:tr>
      <w:tr w14:paraId="1276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35B1671C">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71CD6074">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Obrada pristiglih prijava na natječaj</w:t>
            </w:r>
          </w:p>
        </w:tc>
        <w:tc>
          <w:tcPr>
            <w:tcW w:w="3113" w:type="dxa"/>
            <w:vAlign w:val="center"/>
          </w:tcPr>
          <w:p w14:paraId="6EFA46B0">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Povjerenstvo za provedbu natječaja / Ravnatelj</w:t>
            </w:r>
          </w:p>
        </w:tc>
      </w:tr>
      <w:tr w14:paraId="44AC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6EEC7992">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0100BCD8">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Provjera stručnih i radnih sposobnosti s kandidatima koji ispunjavaju formalne uvjete natječaja</w:t>
            </w:r>
          </w:p>
        </w:tc>
        <w:tc>
          <w:tcPr>
            <w:tcW w:w="3113" w:type="dxa"/>
            <w:vAlign w:val="center"/>
          </w:tcPr>
          <w:p w14:paraId="1459660A">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Povjerenstvo za provedbu natječaja</w:t>
            </w:r>
          </w:p>
        </w:tc>
      </w:tr>
      <w:tr w14:paraId="1E1B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219DB194">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39B2336A">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Izvješće o provedenom postupku s rang listom kandidata (prema ostvarenom broju bodova)</w:t>
            </w:r>
          </w:p>
        </w:tc>
        <w:tc>
          <w:tcPr>
            <w:tcW w:w="3113" w:type="dxa"/>
            <w:vAlign w:val="center"/>
          </w:tcPr>
          <w:p w14:paraId="046B2947">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Povjerenstvo za provedbu natječaja</w:t>
            </w:r>
          </w:p>
        </w:tc>
      </w:tr>
      <w:tr w14:paraId="2E99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137430CE">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6B810DC6">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Pozivanje izabranog kandidata za dostavu ostale potrebne dokumentacije prije sklapanja Ugovora o radu</w:t>
            </w:r>
          </w:p>
        </w:tc>
        <w:tc>
          <w:tcPr>
            <w:tcW w:w="3113" w:type="dxa"/>
            <w:vAlign w:val="center"/>
          </w:tcPr>
          <w:p w14:paraId="50FA54F2">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Ravnatelj</w:t>
            </w:r>
          </w:p>
        </w:tc>
      </w:tr>
      <w:tr w14:paraId="06E4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5A0F960E">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22FC835C">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Odluka o zasnivanju radnog odnosa</w:t>
            </w:r>
          </w:p>
        </w:tc>
        <w:tc>
          <w:tcPr>
            <w:tcW w:w="3113" w:type="dxa"/>
            <w:vAlign w:val="center"/>
          </w:tcPr>
          <w:p w14:paraId="4C4825F4">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Upravno vijeće na prijedlog ravnatelja</w:t>
            </w:r>
          </w:p>
        </w:tc>
      </w:tr>
      <w:tr w14:paraId="7F4C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1800AA1D">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6C8ACFF5">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 xml:space="preserve">Obavijest kandidatima o izboru koji se objavljuje na mrežnoj stranici i oglasnoj ploči Vrtića </w:t>
            </w:r>
          </w:p>
        </w:tc>
        <w:tc>
          <w:tcPr>
            <w:tcW w:w="3113" w:type="dxa"/>
            <w:vAlign w:val="center"/>
          </w:tcPr>
          <w:p w14:paraId="2458D767">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Ravnatelj</w:t>
            </w:r>
          </w:p>
        </w:tc>
      </w:tr>
      <w:tr w14:paraId="54FA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2C0EBEEF">
            <w:pPr>
              <w:numPr>
                <w:ilvl w:val="0"/>
                <w:numId w:val="5"/>
              </w:numPr>
              <w:spacing w:after="0" w:line="276" w:lineRule="auto"/>
              <w:contextualSpacing/>
              <w:rPr>
                <w:rFonts w:ascii="Calibri" w:hAnsi="Calibri" w:eastAsia="Calibri" w:cs="Calibri"/>
                <w:kern w:val="0"/>
                <w:sz w:val="24"/>
                <w:szCs w:val="24"/>
                <w:lang w:eastAsia="hr-HR"/>
                <w14:ligatures w14:val="none"/>
              </w:rPr>
            </w:pPr>
          </w:p>
        </w:tc>
        <w:tc>
          <w:tcPr>
            <w:tcW w:w="5236" w:type="dxa"/>
            <w:vAlign w:val="center"/>
          </w:tcPr>
          <w:p w14:paraId="4CBF93E4">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 xml:space="preserve">Sklapanje ugovora o radu s odabranim kandidatom </w:t>
            </w:r>
          </w:p>
        </w:tc>
        <w:tc>
          <w:tcPr>
            <w:tcW w:w="3113" w:type="dxa"/>
            <w:vAlign w:val="center"/>
          </w:tcPr>
          <w:p w14:paraId="6C996D17">
            <w:pPr>
              <w:spacing w:after="0" w:line="276" w:lineRule="auto"/>
              <w:rPr>
                <w:rFonts w:ascii="Calibri" w:hAnsi="Calibri" w:eastAsia="Calibri" w:cs="Calibri"/>
                <w:kern w:val="0"/>
                <w:sz w:val="24"/>
                <w:szCs w:val="24"/>
                <w:lang w:eastAsia="hr-HR"/>
                <w14:ligatures w14:val="none"/>
              </w:rPr>
            </w:pPr>
            <w:r>
              <w:rPr>
                <w:rFonts w:ascii="Calibri" w:hAnsi="Calibri" w:eastAsia="Calibri" w:cs="Calibri"/>
                <w:kern w:val="0"/>
                <w:sz w:val="24"/>
                <w:szCs w:val="24"/>
                <w:lang w:eastAsia="hr-HR"/>
                <w14:ligatures w14:val="none"/>
              </w:rPr>
              <w:t xml:space="preserve">Ravnatelj </w:t>
            </w:r>
          </w:p>
        </w:tc>
      </w:tr>
    </w:tbl>
    <w:p w14:paraId="39963122">
      <w:pPr>
        <w:spacing w:line="276" w:lineRule="auto"/>
        <w:rPr>
          <w:rFonts w:ascii="Calibri" w:hAnsi="Calibri" w:eastAsia="Calibri" w:cs="Calibri"/>
          <w:kern w:val="0"/>
          <w:sz w:val="24"/>
          <w:szCs w:val="24"/>
          <w14:ligatures w14:val="none"/>
        </w:rPr>
      </w:pPr>
    </w:p>
    <w:p w14:paraId="51E7C1AA">
      <w:pPr>
        <w:pStyle w:val="18"/>
      </w:pPr>
      <w:r>
        <w:t xml:space="preserve"> POSTUPAK PROVEDBE NATJEČAJA</w:t>
      </w:r>
    </w:p>
    <w:p w14:paraId="42FD6834">
      <w:pPr>
        <w:pStyle w:val="23"/>
      </w:pPr>
    </w:p>
    <w:p w14:paraId="0E937DBE">
      <w:pPr>
        <w:pStyle w:val="21"/>
      </w:pPr>
      <w:r>
        <w:t xml:space="preserve">Odluku o objavi natječaja donosi Upravno vijeće Vrtića, na prijedlog ravnatelja, uz uvjete i na način propisan Zakonom, drugim mjerodavnim zakonima i propisima. </w:t>
      </w:r>
    </w:p>
    <w:p w14:paraId="4B4B9640">
      <w:pPr>
        <w:pStyle w:val="21"/>
      </w:pPr>
      <w:r>
        <w:t xml:space="preserve">Natječaj se objavljuje na mrežnim stranicama i oglasnim pločama Hrvatskog zavoda za zapošljavanje te mrežnim stranicama i oglasnim pločama Vrtića, a rok za zaprimanje prijava ne može biti kraći od osam dana od dana objave natječaja. </w:t>
      </w:r>
    </w:p>
    <w:p w14:paraId="2DCFDFE1">
      <w:pPr>
        <w:pStyle w:val="23"/>
      </w:pPr>
    </w:p>
    <w:p w14:paraId="1ACC9148">
      <w:pPr>
        <w:pStyle w:val="21"/>
      </w:pPr>
      <w:r>
        <w:t>Natječaj iz članka 8. obavezno sadrži:</w:t>
      </w:r>
    </w:p>
    <w:p w14:paraId="34EE4921">
      <w:pPr>
        <w:numPr>
          <w:ilvl w:val="0"/>
          <w:numId w:val="6"/>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naziv i sjedište poslodavca, </w:t>
      </w:r>
    </w:p>
    <w:p w14:paraId="347845E4">
      <w:pPr>
        <w:numPr>
          <w:ilvl w:val="0"/>
          <w:numId w:val="6"/>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naziv radnog mjesta, </w:t>
      </w:r>
    </w:p>
    <w:p w14:paraId="051DF993">
      <w:pPr>
        <w:numPr>
          <w:ilvl w:val="0"/>
          <w:numId w:val="6"/>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uvjete kojima zaposlenici trebaju udovoljiti za sklapanje ugovora o radu, </w:t>
      </w:r>
    </w:p>
    <w:p w14:paraId="69FC234A">
      <w:pPr>
        <w:numPr>
          <w:ilvl w:val="0"/>
          <w:numId w:val="6"/>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vrijeme na koje se sklapa ugovor o radu, </w:t>
      </w:r>
    </w:p>
    <w:p w14:paraId="08E2B224">
      <w:pPr>
        <w:numPr>
          <w:ilvl w:val="0"/>
          <w:numId w:val="6"/>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rok u kojem kandidati moraju podnijeti prijavu na natječaj, </w:t>
      </w:r>
    </w:p>
    <w:p w14:paraId="7BD8C3E6">
      <w:pPr>
        <w:numPr>
          <w:ilvl w:val="0"/>
          <w:numId w:val="6"/>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rok u kojem će prijavljeni kandidati biti obaviješteni o izboru, </w:t>
      </w:r>
    </w:p>
    <w:p w14:paraId="45E050EE">
      <w:pPr>
        <w:numPr>
          <w:ilvl w:val="0"/>
          <w:numId w:val="6"/>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i ostale odredbe propisane odredbama zakona i drugim propisima. </w:t>
      </w:r>
    </w:p>
    <w:p w14:paraId="498D9666">
      <w:pPr>
        <w:pStyle w:val="23"/>
      </w:pPr>
    </w:p>
    <w:p w14:paraId="57CF9C06">
      <w:pPr>
        <w:pStyle w:val="21"/>
      </w:pPr>
      <w:r>
        <w:t xml:space="preserve">Potpunom prijavom smatra se prijava koja sadrži sve podatke i priloge navedene u natječaju. </w:t>
      </w:r>
    </w:p>
    <w:p w14:paraId="52A16B45">
      <w:pPr>
        <w:pStyle w:val="21"/>
      </w:pPr>
      <w:r>
        <w:t xml:space="preserve">Prilozi, odnosno preslike dokumenata koje su kandidati dužni priložiti su: </w:t>
      </w:r>
    </w:p>
    <w:p w14:paraId="159D0EC9">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vlastoručno potpisana prijava na natječaj na kojoj je navedena adresa stanovanja, kontakt broj, adresa elektroničke pošte, </w:t>
      </w:r>
    </w:p>
    <w:p w14:paraId="454CEAE5">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životopis, </w:t>
      </w:r>
    </w:p>
    <w:p w14:paraId="32DC1DAC">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dokaz o državljanstvu (preslika osobne iskaznice), </w:t>
      </w:r>
    </w:p>
    <w:p w14:paraId="416B1817">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dokaz o stečenoj stručnoj spremi, </w:t>
      </w:r>
    </w:p>
    <w:p w14:paraId="44880492">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dokaz o radnopravnom statusu (elektronički zapis, odnosno potvrda o podacima evidentiranim u matičnoj evidenciji Hrvatskog zavoda za mirovinsko osiguranje, ne starije od dana objave natječaja), </w:t>
      </w:r>
    </w:p>
    <w:p w14:paraId="31242331">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uvjerenje da se protiv kandidata ne vodi kazneni postupak za neko od kaznenih djela navedenih u članku 25. Zakona (ne starije od dana objave natječaja), </w:t>
      </w:r>
    </w:p>
    <w:p w14:paraId="5266D396">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uvjerenje da se protiv kandidata ne vodi prekršajni postupak za neko od prekršajnih djela navedenih u članku 25. Zakona (ne starije od dana objave natječaja), </w:t>
      </w:r>
    </w:p>
    <w:p w14:paraId="4DCFF197">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potvrdu Hrvatskog zavoda za socijalni rad (prema mjestu stanovanja) da kandidatu nisu izrečene zaštitne mjere iz članka 25. Zakona o predškolskom odgoju i obrazovanju (ne starije od dana objave natječaja), </w:t>
      </w:r>
    </w:p>
    <w:p w14:paraId="3D740E5D">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izjavu kandidata o nepostojanju zapreka iz čl. 25. Zakona za zasnivanje radnog odnosa (vlastoručno potpisana), </w:t>
      </w:r>
    </w:p>
    <w:p w14:paraId="2857DDD4">
      <w:pPr>
        <w:numPr>
          <w:ilvl w:val="0"/>
          <w:numId w:val="7"/>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ostali prilozi navedeni u natječaju. </w:t>
      </w:r>
    </w:p>
    <w:p w14:paraId="4DE5D1E6">
      <w:pPr>
        <w:pStyle w:val="21"/>
      </w:pPr>
      <w:r>
        <w:t xml:space="preserve">Dokaz o zdravstvenoj sposobnosti kandidati nisu dužni priložiti uz prijavu na natječaj, već će se ona ishoditi prije donošenja konačne odluke o sklapanju ugovora o radu, a radni odnos u dječjem vrtiću ne može zasnovati osoba koja ima zapreke definirane čl. 25. Zakona. </w:t>
      </w:r>
    </w:p>
    <w:p w14:paraId="04B25420">
      <w:pPr>
        <w:pStyle w:val="23"/>
      </w:pPr>
    </w:p>
    <w:p w14:paraId="24E97013">
      <w:pPr>
        <w:pStyle w:val="21"/>
        <w:rPr>
          <w:b/>
        </w:rPr>
      </w:pPr>
      <w:r>
        <w:t xml:space="preserve">Nepotpune i nepravodobne prijave neće se razmatrati. </w:t>
      </w:r>
    </w:p>
    <w:p w14:paraId="0FF70F78">
      <w:pPr>
        <w:pStyle w:val="21"/>
        <w:rPr>
          <w:b/>
        </w:rPr>
      </w:pPr>
      <w:r>
        <w:rPr>
          <w:rFonts w:ascii="Calibri" w:hAnsi="Calibri" w:eastAsia="Calibri" w:cs="Calibri"/>
          <w:kern w:val="0"/>
          <w14:ligatures w14:val="none"/>
        </w:rPr>
        <w:t>Urednom prijavom smatra se prijava koja sadrži sve podatke i priloge navedene u natječaju. Osoba koja je podnijela nepotpunu prijavu, neće biti pozvana na dopunu dokumentacije.</w:t>
      </w:r>
    </w:p>
    <w:p w14:paraId="14193661">
      <w:pPr>
        <w:pStyle w:val="21"/>
      </w:pPr>
      <w:r>
        <w:t>Prijave na natječaj, zajedno s prilozima, kandidati su dužni dostaviti osobno ili poslati poštom u roku od minimalno osam dana od objave natječaja u zatvorenoj omotnici na adresu: OPĆINA PRIBISLAVEC, Braće Radića 47, Pribislavec, 40000 Čakovec, sa naznakom „Natječaj za radno mjesto ___________".</w:t>
      </w:r>
    </w:p>
    <w:p w14:paraId="2647DB2A">
      <w:pPr>
        <w:pStyle w:val="23"/>
      </w:pPr>
    </w:p>
    <w:p w14:paraId="2DAFAF61">
      <w:pPr>
        <w:pStyle w:val="21"/>
      </w:pPr>
      <w:r>
        <w:t xml:space="preserve">Natječaj se poništava ako je objavljen suprotno važećim propisima ili zbog drugih opravdanih razloga. </w:t>
      </w:r>
    </w:p>
    <w:p w14:paraId="47E7DCE7">
      <w:pPr>
        <w:pStyle w:val="21"/>
      </w:pPr>
      <w:r>
        <w:t xml:space="preserve">Odluku o poništenju natječaja donosi Upravno vijeće Vrtića. </w:t>
      </w:r>
    </w:p>
    <w:p w14:paraId="25125A65">
      <w:pPr>
        <w:pStyle w:val="21"/>
      </w:pPr>
      <w:r>
        <w:t xml:space="preserve">Poništenje natječaja objavljuje se na mrežnim stranicama i oglasnim pločama Hrvatskog zavoda za zapošljavanje te mrežnim stranicama i oglasnim pločama Vrtića. </w:t>
      </w:r>
    </w:p>
    <w:p w14:paraId="4C228B50">
      <w:pPr>
        <w:pStyle w:val="21"/>
      </w:pPr>
      <w:r>
        <w:t xml:space="preserve">Ako prema natječaju na prijedlog ravnatelja ne bude izabran niti jedan kandidat ili na natječaj ne pristigne niti jedna prijava, Upravno vijeće Vrtića donosi odluku o neizboru kandidata.  U slučaju iz stavka 1. i 4. ovoga članka natječaj će se ponoviti. </w:t>
      </w:r>
    </w:p>
    <w:p w14:paraId="644765DC">
      <w:pPr>
        <w:pStyle w:val="21"/>
      </w:pPr>
      <w:r>
        <w:t>Nakon dovršetka postupka provjere znanja i/ili sposobnosti odnosno po završetku razgovora, povjerenstvo sastavlja Izvješće o provedenom postupku s rang listom kandidata, prema ostvarenom broju bodova.</w:t>
      </w:r>
    </w:p>
    <w:p w14:paraId="221B950C">
      <w:pPr>
        <w:pStyle w:val="21"/>
      </w:pPr>
      <w:r>
        <w:t xml:space="preserve">Upravno vijeće Vrtića, na prijedlog ravnatelja donosi Odluku o zasnivanju radnog odnosa. Ravnatelj obavještava kandidate o ishodima natječaja. </w:t>
      </w:r>
    </w:p>
    <w:p w14:paraId="1731A4F6">
      <w:pPr>
        <w:pStyle w:val="23"/>
      </w:pPr>
    </w:p>
    <w:p w14:paraId="66921C4D">
      <w:pPr>
        <w:pStyle w:val="21"/>
      </w:pPr>
      <w:r>
        <w:t xml:space="preserve">Prema potrebi, ravnatelj odlukom imenuje Povjerenstvo za provedbu natječaja (u daljnjem tekstu: Povjerenstvo) od minimalno 3 člana, za provjeru stručnih i radnih sposobnosti kandidata. </w:t>
      </w:r>
    </w:p>
    <w:p w14:paraId="0E5492E3">
      <w:pPr>
        <w:pStyle w:val="21"/>
      </w:pPr>
      <w:r>
        <w:t xml:space="preserve">Ukoliko je moguće, članovi se imenuju iz reda zaposlenika koji imaju potrebno obrazovanje i stručno znanje vezano za procjenu kandidata. </w:t>
      </w:r>
    </w:p>
    <w:p w14:paraId="5D93CAEE">
      <w:pPr>
        <w:pStyle w:val="21"/>
      </w:pPr>
      <w:r>
        <w:t>Nakon dovršetka postupka provjere znanja i/ili sposobnosti odnosno po završetku razgovora, Povjerenstvo dostavlja ravnatelju Izvješće o provedenom postupku u kojem je rang lista kandidata (prema ostvarenom broju bodova).</w:t>
      </w:r>
    </w:p>
    <w:p w14:paraId="09DCFCB5">
      <w:pPr>
        <w:pStyle w:val="21"/>
      </w:pPr>
      <w:r>
        <w:t>Članove Povjerenstva iz stavka 1. ovog članka, ravnatelj može imenovati kao stalne članove Povjerenstva za tekuću pedagošku godinu ili ih imenovati za svaki natječaj najkasnije do isteka roka za podnošenje prijave na natječaj.</w:t>
      </w:r>
    </w:p>
    <w:p w14:paraId="7DD762F9">
      <w:pPr>
        <w:pStyle w:val="23"/>
      </w:pPr>
    </w:p>
    <w:p w14:paraId="4AFCE5A4">
      <w:pPr>
        <w:pStyle w:val="21"/>
      </w:pPr>
      <w:r>
        <w:t>Ako se nakon pregleda prijava kandidata utvrdi mogućnost postojanja okolnosti, koje dovode u sumnju nepristranost člana ili članova Povjerenstva iz reda zaposlenika, izmijenit će se sastav Povjerenstva.</w:t>
      </w:r>
    </w:p>
    <w:p w14:paraId="63028FBB">
      <w:pPr>
        <w:pStyle w:val="23"/>
      </w:pPr>
    </w:p>
    <w:p w14:paraId="7450D9E3">
      <w:pPr>
        <w:pStyle w:val="21"/>
      </w:pPr>
      <w:r>
        <w:t xml:space="preserve">Povjerenstvo obavlja sljedeće poslove: </w:t>
      </w:r>
    </w:p>
    <w:p w14:paraId="5CC3DB50">
      <w:pPr>
        <w:numPr>
          <w:ilvl w:val="0"/>
          <w:numId w:val="8"/>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za svakog kandidata utvrđuje je li dostavio pravodobnu, potpunu i potpisanu prijavu sa svim prilozima, odnosno preslikama dokumenata navedenim u natječaju,</w:t>
      </w:r>
    </w:p>
    <w:p w14:paraId="60C18405">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utvrđuje ispunjava li kandidat uvjete natječaja, </w:t>
      </w:r>
    </w:p>
    <w:p w14:paraId="7AF2AC99">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utvrđuje poziva li se kandidat i ostvaruje li pravo prednosti pri zapošljavanju prema posebnim zakonskim propisima,</w:t>
      </w:r>
    </w:p>
    <w:p w14:paraId="4AD4624B">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zajedno s ravnateljem utvrđuje termine razgovora s kandidatima, </w:t>
      </w:r>
    </w:p>
    <w:p w14:paraId="50CBA2B3">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na prijedlog ravnatelja, odlučuje o načinima provođenja postupka procjene i vrednovanja kandidata u skladu s brojem prijavljenih kandidata, </w:t>
      </w:r>
    </w:p>
    <w:p w14:paraId="2F2D837F">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prije provođenja procjene i vrednovanja kandidata utvrđuju se područja i elementi vrednovanja kandidata, </w:t>
      </w:r>
    </w:p>
    <w:p w14:paraId="001A6A25">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provodi postupak procjene i vrednovanja kandidata, </w:t>
      </w:r>
    </w:p>
    <w:p w14:paraId="1066BA1A">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vrednuje kandidate prema broju bodova, </w:t>
      </w:r>
    </w:p>
    <w:p w14:paraId="4FFE34D0">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utvrđuje rang listu kandidata, s obzirom na rezultate provedenog postupka, </w:t>
      </w:r>
    </w:p>
    <w:p w14:paraId="663CEEB3">
      <w:pPr>
        <w:numPr>
          <w:ilvl w:val="0"/>
          <w:numId w:val="8"/>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priprema Izvješće o provedenom postupku u kojem je rang listom kandidata (prema ostvarenom broju bodova).  </w:t>
      </w:r>
    </w:p>
    <w:p w14:paraId="34C8557A">
      <w:pPr>
        <w:pStyle w:val="21"/>
      </w:pPr>
      <w:r>
        <w:t xml:space="preserve">Ravnatelj obavlja sljedeće poslove: </w:t>
      </w:r>
    </w:p>
    <w:p w14:paraId="0484076F">
      <w:pPr>
        <w:numPr>
          <w:ilvl w:val="0"/>
          <w:numId w:val="9"/>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saziva Povjerenstvo te imenuje osobu koja piše Izvješće koje svi članovi Povjerenstva potpisuju, </w:t>
      </w:r>
    </w:p>
    <w:p w14:paraId="581DE632">
      <w:pPr>
        <w:numPr>
          <w:ilvl w:val="0"/>
          <w:numId w:val="9"/>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može nazočiti razgovoru s kandidatima u okviru kojeg se procjenjuju njihove interpersonalne vještine.</w:t>
      </w:r>
    </w:p>
    <w:p w14:paraId="52022EF5">
      <w:pPr>
        <w:pStyle w:val="21"/>
      </w:pPr>
      <w:r>
        <w:t>Članovi Povjerenstva ne primaju naknadu za rad.</w:t>
      </w:r>
    </w:p>
    <w:p w14:paraId="38D05634">
      <w:pPr>
        <w:spacing w:after="0" w:line="276" w:lineRule="auto"/>
        <w:ind w:firstLine="360"/>
        <w:rPr>
          <w:rFonts w:ascii="Calibri" w:hAnsi="Calibri" w:eastAsia="Calibri" w:cs="Calibri"/>
          <w:kern w:val="0"/>
          <w:sz w:val="24"/>
          <w:szCs w:val="24"/>
          <w14:ligatures w14:val="none"/>
        </w:rPr>
      </w:pPr>
    </w:p>
    <w:p w14:paraId="2B87E3A1">
      <w:pPr>
        <w:pStyle w:val="18"/>
      </w:pPr>
      <w:r>
        <w:t xml:space="preserve"> PROVJERA STRUČNIH I RADNIH SPOSOBNOSTI KANDIDATA </w:t>
      </w:r>
    </w:p>
    <w:p w14:paraId="1734700E">
      <w:pPr>
        <w:pStyle w:val="23"/>
      </w:pPr>
    </w:p>
    <w:p w14:paraId="51BB9763">
      <w:pPr>
        <w:pStyle w:val="21"/>
      </w:pPr>
      <w:r>
        <w:t xml:space="preserve">Procjena i vrednovanje kandidata provodi se obavljanjem sljedećih oblika provjere: </w:t>
      </w:r>
    </w:p>
    <w:p w14:paraId="24AB83B0">
      <w:pPr>
        <w:spacing w:after="0" w:line="276" w:lineRule="auto"/>
        <w:ind w:firstLine="708"/>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1. </w:t>
      </w:r>
      <w:r>
        <w:rPr>
          <w:rFonts w:ascii="Calibri" w:hAnsi="Calibri" w:eastAsia="Calibri" w:cs="Calibri"/>
          <w:i/>
          <w:kern w:val="0"/>
          <w:sz w:val="24"/>
          <w:szCs w:val="24"/>
          <w14:ligatures w14:val="none"/>
        </w:rPr>
        <w:t>Pisani i/ili usmeni test</w:t>
      </w:r>
      <w:r>
        <w:rPr>
          <w:rFonts w:ascii="Calibri" w:hAnsi="Calibri" w:eastAsia="Calibri" w:cs="Calibri"/>
          <w:kern w:val="0"/>
          <w:sz w:val="24"/>
          <w:szCs w:val="24"/>
          <w14:ligatures w14:val="none"/>
        </w:rPr>
        <w:t xml:space="preserve"> – provjera znanja relevantnog za obavljanje poslova radnog mjesta (ukoliko je pristiglo 10 i više prijava za otvoreno radno mjesto), provodi se po potrebi za radna mjesta odgojitelja, stručnih suradnika, zdravstvenog voditelja, a po potrebi i za ostala radna mjesta. </w:t>
      </w:r>
    </w:p>
    <w:p w14:paraId="62E7BECB">
      <w:pPr>
        <w:spacing w:after="0" w:line="276" w:lineRule="auto"/>
        <w:ind w:firstLine="708"/>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2. </w:t>
      </w:r>
      <w:r>
        <w:rPr>
          <w:rFonts w:ascii="Calibri" w:hAnsi="Calibri" w:eastAsia="Calibri" w:cs="Calibri"/>
          <w:i/>
          <w:kern w:val="0"/>
          <w:sz w:val="24"/>
          <w:szCs w:val="24"/>
          <w14:ligatures w14:val="none"/>
        </w:rPr>
        <w:t xml:space="preserve">Praktična provjera ─ </w:t>
      </w:r>
      <w:r>
        <w:rPr>
          <w:rFonts w:ascii="Calibri" w:hAnsi="Calibri" w:eastAsia="Calibri" w:cs="Calibri"/>
          <w:kern w:val="0"/>
          <w:sz w:val="24"/>
          <w:szCs w:val="24"/>
          <w14:ligatures w14:val="none"/>
        </w:rPr>
        <w:t>provodi se po potrebi, ovisno o naravi posla, radi ocjenjivanja sposobnosti kandidata kroz konkretne zadatke povezane s poslovima radnog mjesta.</w:t>
      </w:r>
    </w:p>
    <w:p w14:paraId="6F8F5300">
      <w:pPr>
        <w:spacing w:after="0" w:line="276" w:lineRule="auto"/>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 </w:t>
      </w:r>
      <w:r>
        <w:rPr>
          <w:rFonts w:ascii="Calibri" w:hAnsi="Calibri" w:eastAsia="Calibri" w:cs="Calibri"/>
          <w:kern w:val="0"/>
          <w:sz w:val="24"/>
          <w:szCs w:val="24"/>
          <w14:ligatures w14:val="none"/>
        </w:rPr>
        <w:tab/>
      </w:r>
      <w:r>
        <w:rPr>
          <w:rFonts w:ascii="Calibri" w:hAnsi="Calibri" w:eastAsia="Calibri" w:cs="Calibri"/>
          <w:kern w:val="0"/>
          <w:sz w:val="24"/>
          <w:szCs w:val="24"/>
          <w14:ligatures w14:val="none"/>
        </w:rPr>
        <w:t xml:space="preserve"> 3</w:t>
      </w:r>
      <w:r>
        <w:rPr>
          <w:rFonts w:ascii="Calibri" w:hAnsi="Calibri" w:eastAsia="Calibri" w:cs="Calibri"/>
          <w:i/>
          <w:kern w:val="0"/>
          <w:sz w:val="24"/>
          <w:szCs w:val="24"/>
          <w14:ligatures w14:val="none"/>
        </w:rPr>
        <w:t>. Razgovor (intervju)</w:t>
      </w:r>
      <w:r>
        <w:rPr>
          <w:rFonts w:ascii="Calibri" w:hAnsi="Calibri" w:eastAsia="Calibri" w:cs="Calibri"/>
          <w:kern w:val="0"/>
          <w:sz w:val="24"/>
          <w:szCs w:val="24"/>
          <w14:ligatures w14:val="none"/>
        </w:rPr>
        <w:t xml:space="preserve"> – provodi se obvezno za sva radna mjesta u svrhu procjene interpersonalnih vještina kandidata, uključujući komunikacijske sposobnosti, motivaciju za rad, odgovornost, fleksibilnost, sposobnost timskog rada i druge relevantne karakteristike.</w:t>
      </w:r>
    </w:p>
    <w:p w14:paraId="304996E6">
      <w:pPr>
        <w:pStyle w:val="21"/>
      </w:pPr>
      <w:r>
        <w:t xml:space="preserve">Za svaki od navedenih oblika provjere kandidatima se dodjeljuje određeni broj bodova, i to: </w:t>
      </w:r>
    </w:p>
    <w:p w14:paraId="122EC97A">
      <w:pPr>
        <w:numPr>
          <w:ilvl w:val="0"/>
          <w:numId w:val="10"/>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za pisani i/ili usmeni test – od 0 do 10 bodova, sukladno unaprijed definiranom ključu bodovanja, </w:t>
      </w:r>
    </w:p>
    <w:p w14:paraId="27F41195">
      <w:pPr>
        <w:numPr>
          <w:ilvl w:val="0"/>
          <w:numId w:val="10"/>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za praktičnu provjeru – od 0 do 10 bodova, temeljem procjene u odnosu na unaprijed postavljene kriterije (preciznost, učinkovitost, samostalnost i sl.), temeljem procjene svakog člana Povjerenstva,</w:t>
      </w:r>
    </w:p>
    <w:p w14:paraId="595346D0">
      <w:pPr>
        <w:numPr>
          <w:ilvl w:val="0"/>
          <w:numId w:val="10"/>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za intervju – od 1 do 10 bodova, temeljem procjene svakog člana Povjerenstva.</w:t>
      </w:r>
    </w:p>
    <w:p w14:paraId="597ACD01">
      <w:pPr>
        <w:pStyle w:val="21"/>
      </w:pPr>
      <w:r>
        <w:t>Kod pisanog i usmenog testa sustav bodovanja mora biti unaprijed definiran kroz ključ za</w:t>
      </w:r>
    </w:p>
    <w:p w14:paraId="57177BE6">
      <w:pPr>
        <w:spacing w:after="0" w:line="276" w:lineRule="auto"/>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bodovanje, koji se izrađuje prije početka testiranja. Svakom pitanju dodjeljuje se određeni broj bodova, pri čemu ukupni zbroj maksimalno mogućih bodova na testu iznosi 10. </w:t>
      </w:r>
    </w:p>
    <w:p w14:paraId="7F70FEC3">
      <w:pPr>
        <w:pStyle w:val="21"/>
      </w:pPr>
      <w:r>
        <w:t xml:space="preserve">Primjenjuje se sljedeći osnovni okvir za vrednovanje bodova: </w:t>
      </w:r>
    </w:p>
    <w:p w14:paraId="2CEA80EB">
      <w:pPr>
        <w:numPr>
          <w:ilvl w:val="0"/>
          <w:numId w:val="11"/>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točan i potpun odgovor – puni broj bodova predviđenih za pojedino pitanje,</w:t>
      </w:r>
    </w:p>
    <w:p w14:paraId="3B60776F">
      <w:pPr>
        <w:numPr>
          <w:ilvl w:val="0"/>
          <w:numId w:val="11"/>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djelomično točan / potpun odgovor – 50 % bodova predviđenih za pojedino pitanje,</w:t>
      </w:r>
    </w:p>
    <w:p w14:paraId="7ED2C2C6">
      <w:pPr>
        <w:numPr>
          <w:ilvl w:val="0"/>
          <w:numId w:val="11"/>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netočan ili izostavljen odgovor – 0 bodova. </w:t>
      </w:r>
    </w:p>
    <w:p w14:paraId="0A3DF29B">
      <w:pPr>
        <w:pStyle w:val="21"/>
      </w:pPr>
      <w:r>
        <w:tab/>
      </w:r>
      <w:r>
        <w:t>Prema potrebi, navedeni okvir može se proširiti uz korištenje dodatnih razina bodovanja.</w:t>
      </w:r>
    </w:p>
    <w:p w14:paraId="3332E1FC">
      <w:pPr>
        <w:pStyle w:val="21"/>
      </w:pPr>
      <w:r>
        <w:rPr>
          <w:rFonts w:ascii="Calibri" w:hAnsi="Calibri" w:eastAsia="Calibri" w:cs="Calibri"/>
          <w:kern w:val="0"/>
          <w14:ligatures w14:val="none"/>
        </w:rPr>
        <w:t>Kod praktične provjere i razgovora (intervjua) svaki član Povjerenstva pojedinačno ocjenjuje kandidata, pri čemu dodjeljuje jedinstveni broj bodova za sve unaprijed postavljene kriterije unutar pojedinog oblika provjere.</w:t>
      </w:r>
    </w:p>
    <w:p w14:paraId="78C6D487">
      <w:pPr>
        <w:pStyle w:val="21"/>
      </w:pPr>
      <w:r>
        <w:rPr>
          <w:rFonts w:ascii="Calibri" w:hAnsi="Calibri" w:eastAsia="Calibri" w:cs="Calibri"/>
          <w:kern w:val="0"/>
          <w14:ligatures w14:val="none"/>
        </w:rPr>
        <w:t xml:space="preserve">Intervju se provodi samo s kandidatima koji su ostvarili najmanje 50 % bodova na pisanom i/ili usmenom testu te najmanje 50 % bodova na provjeri praktičnog rada, ako je ta provjera provedena. </w:t>
      </w:r>
    </w:p>
    <w:p w14:paraId="078852D8">
      <w:pPr>
        <w:pStyle w:val="21"/>
      </w:pPr>
      <w:r>
        <w:rPr>
          <w:rFonts w:ascii="Calibri" w:hAnsi="Calibri" w:eastAsia="Calibri" w:cs="Calibri"/>
          <w:kern w:val="0"/>
          <w14:ligatures w14:val="none"/>
        </w:rPr>
        <w:t xml:space="preserve">Ocjene svih članova Povjerenstva za pojedini oblik provjere zbrajaju se i dijele s brojem članova Povjerenstva, čime se dobiva prosječan broj bodova za taj oblik provjere. </w:t>
      </w:r>
    </w:p>
    <w:p w14:paraId="610659AF">
      <w:pPr>
        <w:pStyle w:val="21"/>
      </w:pPr>
      <w:r>
        <w:rPr>
          <w:rFonts w:ascii="Calibri" w:hAnsi="Calibri" w:eastAsia="Calibri" w:cs="Calibri"/>
          <w:kern w:val="0"/>
          <w14:ligatures w14:val="none"/>
        </w:rPr>
        <w:t>Prosječan broj bodova zaokružuje se na dvije decimale.</w:t>
      </w:r>
    </w:p>
    <w:p w14:paraId="7C7D7655">
      <w:pPr>
        <w:pStyle w:val="21"/>
      </w:pPr>
      <w:r>
        <w:rPr>
          <w:rFonts w:ascii="Calibri" w:hAnsi="Calibri" w:eastAsia="Calibri" w:cs="Calibri"/>
          <w:kern w:val="0"/>
          <w14:ligatures w14:val="none"/>
        </w:rPr>
        <w:t>Nakon što se izračunaju bodovi za sve oblike provjere, ti se rezultati zbrajaju kako bi se dobio ukupni broj bodova za svakog kandidata.</w:t>
      </w:r>
    </w:p>
    <w:p w14:paraId="12AE2E7E">
      <w:pPr>
        <w:pStyle w:val="21"/>
      </w:pPr>
      <w:r>
        <w:rPr>
          <w:rFonts w:ascii="Calibri" w:hAnsi="Calibri" w:eastAsia="Calibri" w:cs="Calibri"/>
          <w:kern w:val="0"/>
          <w14:ligatures w14:val="none"/>
        </w:rPr>
        <w:t xml:space="preserve">Na temelju ukupnog broja bodova sastavlja se konačna rang lista kandidata. </w:t>
      </w:r>
    </w:p>
    <w:p w14:paraId="403FCA08">
      <w:pPr>
        <w:pStyle w:val="21"/>
      </w:pPr>
      <w:r>
        <w:rPr>
          <w:rFonts w:ascii="Calibri" w:hAnsi="Calibri" w:eastAsia="Calibri" w:cs="Calibri"/>
          <w:kern w:val="0"/>
          <w14:ligatures w14:val="none"/>
        </w:rPr>
        <w:t>Područja iz kojih se obavlja provjera znanja i/ili rješavanje praktičnog zadatka za odgojitelje, stručne suradnike, zdravstvenog voditelja, računovodstvenog referenta, mogu biti:</w:t>
      </w:r>
    </w:p>
    <w:p w14:paraId="6A3677CF">
      <w:pPr>
        <w:numPr>
          <w:ilvl w:val="0"/>
          <w:numId w:val="12"/>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poznavanje i primjena propisa za određeno radno mjesto, </w:t>
      </w:r>
    </w:p>
    <w:p w14:paraId="469F3769">
      <w:pPr>
        <w:numPr>
          <w:ilvl w:val="0"/>
          <w:numId w:val="13"/>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profesionalne kompetencije, </w:t>
      </w:r>
    </w:p>
    <w:p w14:paraId="651D909B">
      <w:pPr>
        <w:numPr>
          <w:ilvl w:val="0"/>
          <w:numId w:val="13"/>
        </w:numPr>
        <w:spacing w:after="0" w:line="276" w:lineRule="auto"/>
        <w:contextualSpacing/>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informatička pismenost. </w:t>
      </w:r>
    </w:p>
    <w:p w14:paraId="3A4185DE">
      <w:pPr>
        <w:pStyle w:val="21"/>
      </w:pPr>
      <w:r>
        <w:tab/>
      </w:r>
      <w:r>
        <w:t>Područja iz kojih se obavlja usmena provjera znanja za ostale zaposlenika – na poslovima prehrane, održavanja čistoće prostora, na održavanju, grijanju i uređivanju prostora, na poslovima pranja, glačanja i šivanja te pomoći, njege, skrbi i pratnje djece s teškoćama u razvoju, mogu biti:</w:t>
      </w:r>
    </w:p>
    <w:p w14:paraId="7EB95D47">
      <w:pPr>
        <w:numPr>
          <w:ilvl w:val="0"/>
          <w:numId w:val="13"/>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poznavanje i primjena propisa za određeno radno mjesto,</w:t>
      </w:r>
    </w:p>
    <w:p w14:paraId="283C5F83">
      <w:pPr>
        <w:numPr>
          <w:ilvl w:val="0"/>
          <w:numId w:val="13"/>
        </w:numPr>
        <w:spacing w:after="0" w:line="276" w:lineRule="auto"/>
        <w:contextualSpacing/>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kompetencije za obavljanje posla iz određenog djelokruga rada. </w:t>
      </w:r>
    </w:p>
    <w:p w14:paraId="2F28DBAA">
      <w:pPr>
        <w:pStyle w:val="23"/>
      </w:pPr>
    </w:p>
    <w:p w14:paraId="4D7FCFA4">
      <w:pPr>
        <w:pStyle w:val="21"/>
      </w:pPr>
      <w:r>
        <w:t>Kandidati koji ispunjavaju formalne uvjete natječaja, pozivaju se na provjeru stručnih i radnih sposobnosti.</w:t>
      </w:r>
    </w:p>
    <w:p w14:paraId="3B4D99F9">
      <w:pPr>
        <w:pStyle w:val="21"/>
      </w:pPr>
      <w:r>
        <w:t xml:space="preserve">Osoba koja nije podnijela pravodobnu ili potpunu prijavu ili ne ispunjava formalne uvjete iz natječaja ne smatra se kandidatom u postupku natječaja. </w:t>
      </w:r>
    </w:p>
    <w:p w14:paraId="2B18C5AB">
      <w:pPr>
        <w:pStyle w:val="21"/>
      </w:pPr>
      <w:r>
        <w:t xml:space="preserve">Ako se na natječaj prijavi 10 i manje kandidata koji zadovoljavaju formalne uvjete natječaja ne mora se provesti vrednovanje kandidata, ali se provodi razgovor / intervju. </w:t>
      </w:r>
    </w:p>
    <w:p w14:paraId="7063ED49">
      <w:pPr>
        <w:pStyle w:val="21"/>
      </w:pPr>
      <w:r>
        <w:t xml:space="preserve">Ako kandidat ne pristupi procjeni, smatrat će se da je odustao od prijave na natječaj. </w:t>
      </w:r>
    </w:p>
    <w:p w14:paraId="44930441">
      <w:pPr>
        <w:pStyle w:val="23"/>
      </w:pPr>
    </w:p>
    <w:p w14:paraId="5716F978">
      <w:pPr>
        <w:pStyle w:val="21"/>
      </w:pPr>
      <w:r>
        <w:t xml:space="preserve">Postupak procjene kandidata provodi se putem obrazaca za vrednovanje (razgovor) koje izrađuje ravnatelj i/ili imenovano Povjerenstvo prema skupinama poslova. </w:t>
      </w:r>
    </w:p>
    <w:p w14:paraId="276D51DA">
      <w:pPr>
        <w:pStyle w:val="21"/>
      </w:pPr>
      <w:r>
        <w:t xml:space="preserve">Na obrascu za vrednovanje za svako pitanje mora biti iskazan maksimalan broj bodova koji kandidat može ostvariti. </w:t>
      </w:r>
    </w:p>
    <w:p w14:paraId="27E9E932">
      <w:pPr>
        <w:pStyle w:val="21"/>
      </w:pPr>
      <w:r>
        <w:t xml:space="preserve">Članovi Povjerenstva vrednuju kandidate prema broju bodova. </w:t>
      </w:r>
    </w:p>
    <w:p w14:paraId="53A3E433">
      <w:pPr>
        <w:pStyle w:val="23"/>
      </w:pPr>
    </w:p>
    <w:p w14:paraId="51766BD7">
      <w:pPr>
        <w:pStyle w:val="21"/>
      </w:pPr>
      <w:r>
        <w:t xml:space="preserve">Usmeno testiranje kandidata provodi ravnatelj ili, ukoliko su imenovani Odlukom, svi članovi Povjerenstva. </w:t>
      </w:r>
    </w:p>
    <w:p w14:paraId="471405D9">
      <w:pPr>
        <w:pStyle w:val="21"/>
      </w:pPr>
      <w:r>
        <w:t xml:space="preserve">Svaki član Povjerenstva obvezan je svakom kandidatu postaviti jednak broj pitanja, identičnog sadržaja za sve kandidate. </w:t>
      </w:r>
    </w:p>
    <w:p w14:paraId="66314181">
      <w:pPr>
        <w:pStyle w:val="21"/>
      </w:pPr>
      <w:r>
        <w:t>Odgovori kandidata vrednuju se bodovima prema definiranom ključu za bodovanje sukladno članku 16. ovog Pravilnika.</w:t>
      </w:r>
    </w:p>
    <w:p w14:paraId="0AAACC61">
      <w:pPr>
        <w:pStyle w:val="23"/>
      </w:pPr>
    </w:p>
    <w:p w14:paraId="556F68E6">
      <w:pPr>
        <w:pStyle w:val="21"/>
      </w:pPr>
      <w:r>
        <w:t xml:space="preserve">Nakon provedene procjene i vrednovanja, Povjerenstvo utvrđuje rang listu kandidata, prema ukupno ostvarenom broju bodova. </w:t>
      </w:r>
    </w:p>
    <w:p w14:paraId="2E181A38">
      <w:pPr>
        <w:pStyle w:val="21"/>
      </w:pPr>
      <w:r>
        <w:t>Rang  lista kandidata sastavni je dio izvješća o provedenom postupku.</w:t>
      </w:r>
    </w:p>
    <w:p w14:paraId="6DB2A7F0">
      <w:pPr>
        <w:pStyle w:val="23"/>
      </w:pPr>
    </w:p>
    <w:p w14:paraId="79E19AF8">
      <w:pPr>
        <w:pStyle w:val="21"/>
      </w:pPr>
      <w:r>
        <w:t xml:space="preserve">Ravnatelj predlaže Upravnom vijeću Vrtića kandidata za zapošljavanje, prema rang listi kandidata. </w:t>
      </w:r>
    </w:p>
    <w:p w14:paraId="5F0314CD">
      <w:pPr>
        <w:pStyle w:val="21"/>
      </w:pPr>
      <w:r>
        <w:t xml:space="preserve">Upravno vijeće Vrtića, na prijedlog ravnatelja, donosi odluku o zasnivanju radnog odnosa. </w:t>
      </w:r>
    </w:p>
    <w:p w14:paraId="1441EE4B">
      <w:pPr>
        <w:pStyle w:val="21"/>
      </w:pPr>
      <w:r>
        <w:t xml:space="preserve">Upravnom vijeću može se dostaviti Izvješće o provedenom postupku u kojem je rang lista kandidata (prema ostvarenom broju bodova). </w:t>
      </w:r>
    </w:p>
    <w:p w14:paraId="405F635A">
      <w:pPr>
        <w:pStyle w:val="21"/>
      </w:pPr>
      <w:r>
        <w:t xml:space="preserve">Ako dva ili više kandidata ostvare jednak broj bodova ravnatelj može predložiti Upravnom vijeću Vrtića odabir i zasnivanje radnog odnosa s jednim od tih kandidata uz obrazloženu procjenu stručnih kompetencija, radnog iskustva i rezultata razgovora. </w:t>
      </w:r>
    </w:p>
    <w:p w14:paraId="26733EB3">
      <w:pPr>
        <w:pStyle w:val="21"/>
      </w:pPr>
      <w:r>
        <w:t xml:space="preserve">Ako predloženi kandidat odustane, ravnatelj može predložiti drugog kandidata s rang liste, u skladu sa stavkom 1. ovog članka. </w:t>
      </w:r>
    </w:p>
    <w:p w14:paraId="2E392C0D">
      <w:pPr>
        <w:pStyle w:val="21"/>
      </w:pPr>
      <w:r>
        <w:t xml:space="preserve">Ukoliko nema drugih kandidata koji su zadovoljili na provedenoj procjeni i vrednovanju putem razgovora, Upravno vijeće Vrtića na prijedlog ravnatelja, donosi odluku o neizboru kandidata. </w:t>
      </w:r>
    </w:p>
    <w:p w14:paraId="625BAC16">
      <w:pPr>
        <w:pStyle w:val="21"/>
      </w:pPr>
      <w:r>
        <w:t>Postupak popunjavanja radnog mjesta, smatra se završenim, nakon provedene provjere kandidata, sukladno članku 25. Zakona, utvrđene zdravstvene sposobnosti za obavljanje poslova radnog mjesta i potpisivanjem ugovora o radu s odabranim kandidatom.</w:t>
      </w:r>
    </w:p>
    <w:p w14:paraId="71E5BF20">
      <w:pPr>
        <w:pStyle w:val="23"/>
      </w:pPr>
    </w:p>
    <w:p w14:paraId="15E2277D">
      <w:pPr>
        <w:pStyle w:val="21"/>
      </w:pPr>
      <w:r>
        <w:t xml:space="preserve">Prednost pod jednakim uvjetima, podrazumijeva da osoba koja se poziva na posebne propise mora ispunjavati sve navedene uvjete, kako bi ostvarila navedeno pravo. </w:t>
      </w:r>
    </w:p>
    <w:p w14:paraId="20119970">
      <w:pPr>
        <w:pStyle w:val="21"/>
      </w:pPr>
      <w:r>
        <w:t xml:space="preserve">Ako jedan od kandidata ostvaruje pravo prednosti pri zapošljavanju, prema posebnim propisima te ispunjava uvjete iz članka 21. stavka 6. ovog Pravilnika, a ima isti ili veći broj bodova od drugog kandidata, ravnatelj je obvezan predložiti Upravnom vijeću Vrtića odabir i zasnivanje radnog odnosa s kandidatom koji ostvaruje pravo prednosti pri zapošljavanju. </w:t>
      </w:r>
    </w:p>
    <w:p w14:paraId="5E382BE9">
      <w:pPr>
        <w:pStyle w:val="21"/>
      </w:pPr>
      <w:r>
        <w:t xml:space="preserve">Ako dva ili više kandidata ostvaruju pravo prednosti pri zapošljavanju prema posebnim propisima i imaju jednaki broj bodova, koje je isti ili veći od broja bodova koje su ostvarili ostali kandidati te ispunjavaju uvjete iz članka 21. stavka 6. ovog Pravilnika, ravnatelj će samostalno odlučiti kojeg će kandidata s pravom prednosti pri zapošljavanju, predložiti Upravnom vijeću Vrtića radi odabira i zasnivanja radnog odnosa. </w:t>
      </w:r>
    </w:p>
    <w:p w14:paraId="2BF97BC3">
      <w:pPr>
        <w:pStyle w:val="23"/>
      </w:pPr>
    </w:p>
    <w:p w14:paraId="1D0DB3D2">
      <w:pPr>
        <w:pStyle w:val="21"/>
      </w:pPr>
      <w:r>
        <w:t xml:space="preserve">Sve kandidate o rezultatima natječaja izvješćuje se u skladu s propisima, na isti način i u istom roku koji je naveden u natječaju, objavom na mrežnoj stranici Vrtića uz poštivanje propisa o zaštiti osobnih podataka. </w:t>
      </w:r>
    </w:p>
    <w:p w14:paraId="31B839CF">
      <w:pPr>
        <w:pStyle w:val="23"/>
      </w:pPr>
    </w:p>
    <w:p w14:paraId="038E8EB9">
      <w:pPr>
        <w:pStyle w:val="21"/>
      </w:pPr>
      <w:r>
        <w:t xml:space="preserve">Kandidati imaju pravo uvida samo u svoju natječajnu dokumentaciju i rezultate procjene, odnosno vrednovanja.  </w:t>
      </w:r>
    </w:p>
    <w:p w14:paraId="0F05FE7D">
      <w:pPr>
        <w:spacing w:after="0" w:line="276" w:lineRule="auto"/>
        <w:rPr>
          <w:rFonts w:ascii="Calibri" w:hAnsi="Calibri" w:eastAsia="Calibri" w:cs="Calibri"/>
          <w:b/>
          <w:kern w:val="0"/>
          <w:sz w:val="24"/>
          <w:szCs w:val="24"/>
          <w14:ligatures w14:val="none"/>
        </w:rPr>
      </w:pPr>
    </w:p>
    <w:p w14:paraId="7400CC7C">
      <w:pPr>
        <w:pStyle w:val="18"/>
      </w:pPr>
      <w:r>
        <w:t xml:space="preserve"> PRIJELAZNE I ZAVRŠNE ODREDBE </w:t>
      </w:r>
    </w:p>
    <w:p w14:paraId="5DB1B166">
      <w:pPr>
        <w:pStyle w:val="23"/>
      </w:pPr>
    </w:p>
    <w:p w14:paraId="04EF75BE">
      <w:pPr>
        <w:pStyle w:val="21"/>
      </w:pPr>
      <w:r>
        <w:t xml:space="preserve">Ovaj Pravilnik donosi se na način propisan Zakonom o radu za njegovo donošenje.  </w:t>
      </w:r>
    </w:p>
    <w:p w14:paraId="7184ABC6">
      <w:pPr>
        <w:pStyle w:val="23"/>
      </w:pPr>
    </w:p>
    <w:p w14:paraId="5DB8396D">
      <w:pPr>
        <w:pStyle w:val="21"/>
      </w:pPr>
      <w:r>
        <w:t>Ovaj Pravilnik stupa na snagu danom donošenja, a objavljuje se na oglasnoj ploči i mrežnoj stranici Dječjeg vrtića „Magnolija“ .</w:t>
      </w:r>
    </w:p>
    <w:p w14:paraId="7FA20BC0"/>
    <w:p w14:paraId="16D45569"/>
    <w:p w14:paraId="66B1E29F">
      <w:pPr>
        <w:spacing w:after="0" w:line="276" w:lineRule="auto"/>
        <w:rPr>
          <w:rFonts w:eastAsia="Times New Roman" w:cstheme="minorHAnsi"/>
          <w:sz w:val="24"/>
          <w:szCs w:val="24"/>
          <w:lang w:eastAsia="hr-HR"/>
        </w:rPr>
      </w:pPr>
      <w:r>
        <w:rPr>
          <w:rFonts w:eastAsia="Times New Roman" w:cstheme="minorHAnsi"/>
          <w:sz w:val="24"/>
          <w:szCs w:val="24"/>
          <w:lang w:eastAsia="hr-HR"/>
        </w:rPr>
        <w:t xml:space="preserve">KLASA: </w:t>
      </w:r>
      <w:r>
        <w:rPr>
          <w:rFonts w:ascii="SimSun" w:hAnsi="SimSun" w:eastAsia="SimSun" w:cs="SimSun"/>
          <w:sz w:val="24"/>
          <w:szCs w:val="24"/>
        </w:rPr>
        <w:t>601-01/26-02/05</w:t>
      </w:r>
      <w:bookmarkStart w:id="0" w:name="_GoBack"/>
      <w:bookmarkEnd w:id="0"/>
    </w:p>
    <w:p w14:paraId="779DF7A2">
      <w:pPr>
        <w:spacing w:after="0" w:line="276" w:lineRule="auto"/>
        <w:rPr>
          <w:rFonts w:eastAsia="Times New Roman" w:cstheme="minorHAnsi"/>
          <w:sz w:val="24"/>
          <w:szCs w:val="24"/>
          <w:lang w:eastAsia="hr-HR"/>
        </w:rPr>
      </w:pPr>
      <w:r>
        <w:rPr>
          <w:rFonts w:eastAsia="Times New Roman" w:cstheme="minorHAnsi"/>
          <w:sz w:val="24"/>
          <w:szCs w:val="24"/>
          <w:lang w:eastAsia="hr-HR"/>
        </w:rPr>
        <w:t>URBROJ:</w:t>
      </w:r>
      <w:r>
        <w:rPr>
          <w:rFonts w:hint="default" w:eastAsia="Times New Roman" w:cstheme="minorHAnsi"/>
          <w:sz w:val="24"/>
          <w:szCs w:val="24"/>
          <w:lang w:val="en-US" w:eastAsia="hr-HR"/>
        </w:rPr>
        <w:t xml:space="preserve"> </w:t>
      </w:r>
      <w:r>
        <w:rPr>
          <w:rFonts w:ascii="SimSun" w:hAnsi="SimSun" w:eastAsia="SimSun" w:cs="SimSun"/>
          <w:sz w:val="24"/>
          <w:szCs w:val="24"/>
        </w:rPr>
        <w:t>2109-26-1-02-26-1</w:t>
      </w:r>
    </w:p>
    <w:p w14:paraId="789A4A84">
      <w:pPr>
        <w:spacing w:after="0" w:line="276" w:lineRule="auto"/>
        <w:rPr>
          <w:rFonts w:ascii="Calibri" w:hAnsi="Calibri" w:eastAsia="Calibri" w:cs="Calibri"/>
          <w:b/>
          <w:bCs/>
          <w:sz w:val="24"/>
          <w:szCs w:val="24"/>
        </w:rPr>
      </w:pPr>
      <w:r>
        <w:rPr>
          <w:rFonts w:eastAsia="Times New Roman" w:cstheme="minorHAnsi"/>
          <w:sz w:val="24"/>
          <w:szCs w:val="24"/>
          <w:lang w:eastAsia="hr-HR"/>
        </w:rPr>
        <w:t>Pribislavec, 23. srpnja 2026. godine</w:t>
      </w:r>
    </w:p>
    <w:p w14:paraId="481D316E">
      <w:pPr>
        <w:spacing w:before="100" w:beforeAutospacing="1" w:after="100" w:afterAutospacing="1"/>
        <w:jc w:val="right"/>
        <w:rPr>
          <w:rFonts w:ascii="Calibri" w:hAnsi="Calibri" w:eastAsia="Calibri" w:cs="Calibri"/>
          <w:sz w:val="24"/>
          <w:szCs w:val="24"/>
        </w:rPr>
      </w:pPr>
      <w:r>
        <w:rPr>
          <w:rFonts w:ascii="Calibri" w:hAnsi="Calibri" w:eastAsia="Calibri" w:cs="Calibri"/>
          <w:sz w:val="24"/>
          <w:szCs w:val="24"/>
        </w:rPr>
        <w:drawing>
          <wp:anchor distT="0" distB="0" distL="114300" distR="114300" simplePos="0" relativeHeight="251659264" behindDoc="0" locked="0" layoutInCell="1" allowOverlap="1">
            <wp:simplePos x="0" y="0"/>
            <wp:positionH relativeFrom="column">
              <wp:posOffset>4413250</wp:posOffset>
            </wp:positionH>
            <wp:positionV relativeFrom="paragraph">
              <wp:posOffset>800735</wp:posOffset>
            </wp:positionV>
            <wp:extent cx="1123950" cy="5410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23950" cy="541020"/>
                    </a:xfrm>
                    <a:prstGeom prst="rect">
                      <a:avLst/>
                    </a:prstGeom>
                    <a:noFill/>
                  </pic:spPr>
                </pic:pic>
              </a:graphicData>
            </a:graphic>
          </wp:anchor>
        </w:drawing>
      </w:r>
      <w:r>
        <w:rPr>
          <w:rFonts w:ascii="Calibri" w:hAnsi="Calibri" w:eastAsia="Calibri" w:cs="Calibri"/>
          <w:b/>
          <w:bCs/>
          <w:sz w:val="24"/>
          <w:szCs w:val="24"/>
        </w:rPr>
        <w:t>PREDSJEDNICA UPRAVNOG VIJEĆA</w:t>
      </w:r>
      <w:r>
        <w:rPr>
          <w:rFonts w:ascii="Calibri" w:hAnsi="Calibri" w:eastAsia="Calibri" w:cs="Calibri"/>
          <w:sz w:val="24"/>
          <w:szCs w:val="24"/>
        </w:rPr>
        <w:t xml:space="preserve"> </w:t>
      </w:r>
      <w:r>
        <w:rPr>
          <w:rFonts w:ascii="Calibri" w:hAnsi="Calibri" w:cs="Calibri"/>
          <w:sz w:val="24"/>
          <w:szCs w:val="24"/>
        </w:rPr>
        <w:br w:type="textWrapping"/>
      </w:r>
      <w:r>
        <w:rPr>
          <w:rFonts w:ascii="Calibri" w:hAnsi="Calibri" w:eastAsia="Calibri" w:cs="Calibri"/>
          <w:sz w:val="24"/>
          <w:szCs w:val="24"/>
        </w:rPr>
        <w:t>Dječjeg vrtića „Magnolija“</w:t>
      </w:r>
    </w:p>
    <w:p w14:paraId="22FE2294">
      <w:pPr>
        <w:spacing w:before="100" w:beforeAutospacing="1" w:after="100" w:afterAutospacing="1"/>
        <w:jc w:val="right"/>
        <w:rPr>
          <w:rFonts w:ascii="Calibri" w:hAnsi="Calibri" w:eastAsia="Calibri" w:cs="Calibri"/>
          <w:sz w:val="24"/>
          <w:szCs w:val="24"/>
        </w:rPr>
      </w:pPr>
      <w:r>
        <w:rPr>
          <w:rFonts w:ascii="Calibri" w:hAnsi="Calibri" w:eastAsia="Calibri" w:cs="Calibri"/>
          <w:sz w:val="24"/>
          <w:szCs w:val="24"/>
        </w:rPr>
        <w:t>____________________</w:t>
      </w:r>
      <w:r>
        <w:rPr>
          <w:rFonts w:ascii="Calibri" w:hAnsi="Calibri" w:eastAsia="Calibri" w:cs="Calibri"/>
          <w:sz w:val="24"/>
          <w:szCs w:val="24"/>
        </w:rPr>
        <w:br w:type="textWrapping"/>
      </w:r>
      <w:r>
        <w:rPr>
          <w:rFonts w:ascii="Calibri" w:hAnsi="Calibri" w:eastAsia="Calibri" w:cs="Calibri"/>
          <w:sz w:val="24"/>
          <w:szCs w:val="24"/>
        </w:rPr>
        <w:t>doc. dr. sc. Dina Korent</w:t>
      </w:r>
    </w:p>
    <w:p w14:paraId="0A814489">
      <w:pPr>
        <w:spacing w:line="276" w:lineRule="auto"/>
        <w:jc w:val="right"/>
        <w:rPr>
          <w:rFonts w:cstheme="minorHAnsi"/>
          <w:sz w:val="24"/>
          <w:szCs w:val="24"/>
        </w:rPr>
      </w:pPr>
      <w:r>
        <w:rPr>
          <w:rFonts w:cstheme="minorHAnsi"/>
          <w:b/>
          <w:bCs/>
          <w:sz w:val="24"/>
          <w:szCs w:val="24"/>
        </w:rPr>
        <w:t>RAVNATELJICA</w:t>
      </w:r>
      <w:r>
        <w:rPr>
          <w:rFonts w:cstheme="minorHAnsi"/>
          <w:sz w:val="24"/>
          <w:szCs w:val="24"/>
        </w:rPr>
        <w:t xml:space="preserve">  </w:t>
      </w:r>
      <w:r>
        <w:rPr>
          <w:rFonts w:cstheme="minorHAnsi"/>
          <w:sz w:val="24"/>
          <w:szCs w:val="24"/>
        </w:rPr>
        <w:br w:type="textWrapping"/>
      </w:r>
      <w:r>
        <w:rPr>
          <w:rFonts w:cstheme="minorHAnsi"/>
          <w:sz w:val="24"/>
          <w:szCs w:val="24"/>
        </w:rPr>
        <w:t xml:space="preserve">Dječjeg vrtića „Magnolija“ </w:t>
      </w:r>
    </w:p>
    <w:p w14:paraId="1C2EFB29">
      <w:pPr>
        <w:spacing w:after="0" w:line="276" w:lineRule="auto"/>
        <w:jc w:val="right"/>
        <w:rPr>
          <w:rFonts w:cstheme="minorHAnsi"/>
          <w:sz w:val="24"/>
          <w:szCs w:val="24"/>
        </w:rPr>
      </w:pPr>
      <w:r>
        <w:rPr>
          <w:rFonts w:cstheme="minorHAnsi"/>
          <w:sz w:val="24"/>
          <w:szCs w:val="24"/>
          <w14:ligatures w14:val="none"/>
        </w:rPr>
        <w:drawing>
          <wp:inline distT="0" distB="0" distL="0" distR="0">
            <wp:extent cx="1591945" cy="62928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613714" cy="638151"/>
                    </a:xfrm>
                    <a:prstGeom prst="rect">
                      <a:avLst/>
                    </a:prstGeom>
                  </pic:spPr>
                </pic:pic>
              </a:graphicData>
            </a:graphic>
          </wp:inline>
        </w:drawing>
      </w:r>
    </w:p>
    <w:p w14:paraId="516620FF">
      <w:pPr>
        <w:spacing w:after="0" w:line="276" w:lineRule="auto"/>
        <w:jc w:val="right"/>
        <w:rPr>
          <w:rFonts w:cstheme="minorHAnsi"/>
          <w:sz w:val="24"/>
          <w:szCs w:val="24"/>
        </w:rPr>
      </w:pPr>
      <w:r>
        <w:rPr>
          <w:rFonts w:cstheme="minorHAnsi"/>
          <w:sz w:val="24"/>
          <w:szCs w:val="24"/>
        </w:rPr>
        <w:t>______________________________</w:t>
      </w:r>
    </w:p>
    <w:p w14:paraId="560CACF4">
      <w:pPr>
        <w:spacing w:line="276" w:lineRule="auto"/>
        <w:jc w:val="right"/>
        <w:rPr>
          <w:rFonts w:cstheme="minorHAnsi"/>
          <w:sz w:val="24"/>
          <w:szCs w:val="24"/>
        </w:rPr>
      </w:pPr>
      <w:r>
        <w:rPr>
          <w:rFonts w:cstheme="minorHAnsi"/>
          <w:sz w:val="24"/>
          <w:szCs w:val="24"/>
        </w:rPr>
        <w:t>Dina Barić Baksa, bacc. praesc. educ.</w:t>
      </w:r>
      <w:r>
        <w:rPr>
          <w:rFonts w:cstheme="minorHAnsi"/>
        </w:rPr>
        <w:t xml:space="preserve"> </w:t>
      </w:r>
    </w:p>
    <w:p w14:paraId="2BE3F503">
      <w:pPr>
        <w:spacing w:before="100" w:beforeAutospacing="1" w:after="100" w:afterAutospacing="1" w:line="276" w:lineRule="auto"/>
        <w:jc w:val="right"/>
        <w:rPr>
          <w:rFonts w:cstheme="minorHAnsi"/>
          <w:sz w:val="24"/>
          <w:szCs w:val="24"/>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DengXian Light">
    <w:altName w:val="SimSun"/>
    <w:panose1 w:val="00000000000000000000"/>
    <w:charset w:val="86"/>
    <w:family w:val="auto"/>
    <w:pitch w:val="default"/>
    <w:sig w:usb0="00000000" w:usb1="00000000" w:usb2="00000016" w:usb3="00000000" w:csb0="0004000F" w:csb1="00000000"/>
  </w:font>
  <w:font w:name="Symbol">
    <w:panose1 w:val="05050102010706020507"/>
    <w:charset w:val="02"/>
    <w:family w:val="roman"/>
    <w:pitch w:val="default"/>
    <w:sig w:usb0="00000000" w:usb1="00000000" w:usb2="00000000" w:usb3="00000000" w:csb0="80000000" w:csb1="00000000"/>
  </w:font>
  <w:font w:name="Sitka Text">
    <w:panose1 w:val="00000000000000000000"/>
    <w:charset w:val="00"/>
    <w:family w:val="auto"/>
    <w:pitch w:val="default"/>
    <w:sig w:usb0="A00002EF" w:usb1="40002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82292"/>
      <w:docPartObj>
        <w:docPartGallery w:val="AutoText"/>
      </w:docPartObj>
    </w:sdtPr>
    <w:sdtContent>
      <w:p w14:paraId="4D63AB52">
        <w:pPr>
          <w:pStyle w:val="8"/>
          <w:jc w:val="right"/>
        </w:pPr>
        <w:r>
          <w:fldChar w:fldCharType="begin"/>
        </w:r>
        <w:r>
          <w:instrText xml:space="preserve">PAGE   \* MERGEFORMAT</w:instrText>
        </w:r>
        <w:r>
          <w:fldChar w:fldCharType="separate"/>
        </w:r>
        <w:r>
          <w:t>2</w:t>
        </w:r>
        <w:r>
          <w:fldChar w:fldCharType="end"/>
        </w:r>
      </w:p>
    </w:sdtContent>
  </w:sdt>
  <w:p w14:paraId="03B0598F">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AA157B"/>
    <w:multiLevelType w:val="multilevel"/>
    <w:tmpl w:val="0CAA157B"/>
    <w:lvl w:ilvl="0" w:tentative="0">
      <w:start w:val="3"/>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F163529"/>
    <w:multiLevelType w:val="multilevel"/>
    <w:tmpl w:val="1F163529"/>
    <w:lvl w:ilvl="0" w:tentative="0">
      <w:start w:val="155"/>
      <w:numFmt w:val="bullet"/>
      <w:lvlText w:val="-"/>
      <w:lvlJc w:val="left"/>
      <w:pPr>
        <w:ind w:left="720" w:hanging="360"/>
      </w:pPr>
      <w:rPr>
        <w:rFonts w:hint="default" w:ascii="Calibri" w:hAnsi="Calibri" w:eastAsia="Times New Roman"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A76570"/>
    <w:multiLevelType w:val="multilevel"/>
    <w:tmpl w:val="32A76570"/>
    <w:lvl w:ilvl="0" w:tentative="0">
      <w:start w:val="3"/>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B557948"/>
    <w:multiLevelType w:val="multilevel"/>
    <w:tmpl w:val="3B557948"/>
    <w:lvl w:ilvl="0" w:tentative="0">
      <w:start w:val="155"/>
      <w:numFmt w:val="bullet"/>
      <w:lvlText w:val="-"/>
      <w:lvlJc w:val="left"/>
      <w:pPr>
        <w:ind w:left="720" w:hanging="360"/>
      </w:pPr>
      <w:rPr>
        <w:rFonts w:hint="default" w:ascii="Calibri" w:hAnsi="Calibri" w:eastAsia="Times New Roman"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C170A5F"/>
    <w:multiLevelType w:val="multilevel"/>
    <w:tmpl w:val="3C170A5F"/>
    <w:lvl w:ilvl="0" w:tentative="0">
      <w:start w:val="1"/>
      <w:numFmt w:val="bullet"/>
      <w:lvlText w:val="-"/>
      <w:lvlJc w:val="left"/>
      <w:pPr>
        <w:ind w:left="720" w:hanging="360"/>
      </w:pPr>
      <w:rPr>
        <w:rFonts w:hint="default" w:ascii="Sitka Text" w:hAnsi="Sitka Tex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41F184B"/>
    <w:multiLevelType w:val="multilevel"/>
    <w:tmpl w:val="441F184B"/>
    <w:lvl w:ilvl="0" w:tentative="0">
      <w:start w:val="3"/>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5405BF0"/>
    <w:multiLevelType w:val="multilevel"/>
    <w:tmpl w:val="45405BF0"/>
    <w:lvl w:ilvl="0" w:tentative="0">
      <w:start w:val="1"/>
      <w:numFmt w:val="decimal"/>
      <w:lvlText w:val="%1."/>
      <w:lvlJc w:val="left"/>
      <w:pPr>
        <w:ind w:left="644"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F0009B1"/>
    <w:multiLevelType w:val="multilevel"/>
    <w:tmpl w:val="4F0009B1"/>
    <w:lvl w:ilvl="0" w:tentative="0">
      <w:start w:val="3"/>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9DB6AB0"/>
    <w:multiLevelType w:val="multilevel"/>
    <w:tmpl w:val="59DB6AB0"/>
    <w:lvl w:ilvl="0" w:tentative="0">
      <w:start w:val="1"/>
      <w:numFmt w:val="decimal"/>
      <w:pStyle w:val="23"/>
      <w:suff w:val="space"/>
      <w:lvlText w:val="Članak %1."/>
      <w:lvlJc w:val="left"/>
      <w:pPr>
        <w:ind w:left="0" w:firstLine="0"/>
      </w:pPr>
    </w:lvl>
    <w:lvl w:ilvl="1" w:tentative="0">
      <w:start w:val="1"/>
      <w:numFmt w:val="decimal"/>
      <w:pStyle w:val="21"/>
      <w:suff w:val="space"/>
      <w:lvlText w:val="(%2)"/>
      <w:lvlJc w:val="left"/>
      <w:pPr>
        <w:ind w:left="1455" w:hanging="320"/>
      </w:pPr>
      <w:rPr>
        <w:rFonts w:hint="default"/>
        <w:b w:val="0"/>
        <w:bCs w:val="0"/>
      </w:rPr>
    </w:lvl>
    <w:lvl w:ilvl="2" w:tentative="0">
      <w:start w:val="1"/>
      <w:numFmt w:val="none"/>
      <w:lvlText w:val="%3"/>
      <w:lvlJc w:val="left"/>
      <w:pPr>
        <w:ind w:left="0" w:firstLine="34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9">
    <w:nsid w:val="5A03641E"/>
    <w:multiLevelType w:val="multilevel"/>
    <w:tmpl w:val="5A03641E"/>
    <w:lvl w:ilvl="0" w:tentative="0">
      <w:start w:val="1"/>
      <w:numFmt w:val="upperRoman"/>
      <w:pStyle w:val="18"/>
      <w:lvlText w:val="%1."/>
      <w:lvlJc w:val="right"/>
      <w:pPr>
        <w:ind w:left="720" w:hanging="360"/>
      </w:pPr>
      <w:rPr>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DBB0ACB"/>
    <w:multiLevelType w:val="multilevel"/>
    <w:tmpl w:val="5DBB0ACB"/>
    <w:lvl w:ilvl="0" w:tentative="0">
      <w:start w:val="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4EA3F8E"/>
    <w:multiLevelType w:val="multilevel"/>
    <w:tmpl w:val="64EA3F8E"/>
    <w:lvl w:ilvl="0" w:tentative="0">
      <w:start w:val="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7D0E5C99"/>
    <w:multiLevelType w:val="multilevel"/>
    <w:tmpl w:val="7D0E5C99"/>
    <w:lvl w:ilvl="0" w:tentative="0">
      <w:start w:val="155"/>
      <w:numFmt w:val="bullet"/>
      <w:lvlText w:val="-"/>
      <w:lvlJc w:val="left"/>
      <w:pPr>
        <w:ind w:left="720" w:hanging="360"/>
      </w:pPr>
      <w:rPr>
        <w:rFonts w:hint="default" w:ascii="Calibri" w:hAnsi="Calibri" w:eastAsia="Times New Roman"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9"/>
  </w:num>
  <w:num w:numId="2">
    <w:abstractNumId w:val="8"/>
  </w:num>
  <w:num w:numId="3">
    <w:abstractNumId w:val="1"/>
  </w:num>
  <w:num w:numId="4">
    <w:abstractNumId w:val="12"/>
  </w:num>
  <w:num w:numId="5">
    <w:abstractNumId w:val="6"/>
  </w:num>
  <w:num w:numId="6">
    <w:abstractNumId w:val="7"/>
  </w:num>
  <w:num w:numId="7">
    <w:abstractNumId w:val="0"/>
  </w:num>
  <w:num w:numId="8">
    <w:abstractNumId w:val="5"/>
  </w:num>
  <w:num w:numId="9">
    <w:abstractNumId w:val="2"/>
  </w:num>
  <w:num w:numId="10">
    <w:abstractNumId w:val="11"/>
  </w:num>
  <w:num w:numId="11">
    <w:abstractNumId w:val="4"/>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CEE"/>
    <w:rsid w:val="00043785"/>
    <w:rsid w:val="000B2995"/>
    <w:rsid w:val="000D1652"/>
    <w:rsid w:val="000D4BE3"/>
    <w:rsid w:val="000F50D6"/>
    <w:rsid w:val="000F7863"/>
    <w:rsid w:val="0015506A"/>
    <w:rsid w:val="001572F5"/>
    <w:rsid w:val="0016785B"/>
    <w:rsid w:val="00181185"/>
    <w:rsid w:val="00194B9B"/>
    <w:rsid w:val="00195AE2"/>
    <w:rsid w:val="001A3F17"/>
    <w:rsid w:val="001A7F48"/>
    <w:rsid w:val="001E076D"/>
    <w:rsid w:val="00247F7A"/>
    <w:rsid w:val="00265701"/>
    <w:rsid w:val="0027700A"/>
    <w:rsid w:val="00277AB0"/>
    <w:rsid w:val="002B3DE5"/>
    <w:rsid w:val="002C5ED1"/>
    <w:rsid w:val="002D67B6"/>
    <w:rsid w:val="00305449"/>
    <w:rsid w:val="00310DA6"/>
    <w:rsid w:val="0031708B"/>
    <w:rsid w:val="0033372F"/>
    <w:rsid w:val="003437BA"/>
    <w:rsid w:val="003731D7"/>
    <w:rsid w:val="00394108"/>
    <w:rsid w:val="003C1DD5"/>
    <w:rsid w:val="003D1769"/>
    <w:rsid w:val="003E5DA5"/>
    <w:rsid w:val="003F47F1"/>
    <w:rsid w:val="00402E01"/>
    <w:rsid w:val="00436D16"/>
    <w:rsid w:val="004634A0"/>
    <w:rsid w:val="004A5F15"/>
    <w:rsid w:val="004E0C7B"/>
    <w:rsid w:val="005349C7"/>
    <w:rsid w:val="00561CCF"/>
    <w:rsid w:val="0056461A"/>
    <w:rsid w:val="00585D9C"/>
    <w:rsid w:val="00586A1D"/>
    <w:rsid w:val="00597CEE"/>
    <w:rsid w:val="005B09DA"/>
    <w:rsid w:val="005B4EA1"/>
    <w:rsid w:val="00600A57"/>
    <w:rsid w:val="0064234F"/>
    <w:rsid w:val="0068550A"/>
    <w:rsid w:val="0070389F"/>
    <w:rsid w:val="0071004A"/>
    <w:rsid w:val="007207E2"/>
    <w:rsid w:val="00740101"/>
    <w:rsid w:val="00784DDD"/>
    <w:rsid w:val="007946CB"/>
    <w:rsid w:val="007A6EB7"/>
    <w:rsid w:val="007D6177"/>
    <w:rsid w:val="00826126"/>
    <w:rsid w:val="00886CD9"/>
    <w:rsid w:val="008C0302"/>
    <w:rsid w:val="008D61F3"/>
    <w:rsid w:val="008F5D76"/>
    <w:rsid w:val="009049B8"/>
    <w:rsid w:val="0091662F"/>
    <w:rsid w:val="0093782F"/>
    <w:rsid w:val="009566CA"/>
    <w:rsid w:val="00957252"/>
    <w:rsid w:val="00970437"/>
    <w:rsid w:val="0098613D"/>
    <w:rsid w:val="00A13A2C"/>
    <w:rsid w:val="00A23110"/>
    <w:rsid w:val="00A772EC"/>
    <w:rsid w:val="00A90C72"/>
    <w:rsid w:val="00B01D88"/>
    <w:rsid w:val="00B245DC"/>
    <w:rsid w:val="00B465FE"/>
    <w:rsid w:val="00B63F0D"/>
    <w:rsid w:val="00B72075"/>
    <w:rsid w:val="00B95570"/>
    <w:rsid w:val="00BA1C18"/>
    <w:rsid w:val="00BA21FD"/>
    <w:rsid w:val="00BA7563"/>
    <w:rsid w:val="00C50867"/>
    <w:rsid w:val="00C530A2"/>
    <w:rsid w:val="00C76DB6"/>
    <w:rsid w:val="00C82D03"/>
    <w:rsid w:val="00CA0220"/>
    <w:rsid w:val="00CB0E0A"/>
    <w:rsid w:val="00CB3C0F"/>
    <w:rsid w:val="00CF1075"/>
    <w:rsid w:val="00CF7162"/>
    <w:rsid w:val="00D106BA"/>
    <w:rsid w:val="00D8177B"/>
    <w:rsid w:val="00D81CE3"/>
    <w:rsid w:val="00D958C4"/>
    <w:rsid w:val="00DC27C3"/>
    <w:rsid w:val="00DD2B47"/>
    <w:rsid w:val="00DD5B4B"/>
    <w:rsid w:val="00DF51A1"/>
    <w:rsid w:val="00E22B85"/>
    <w:rsid w:val="00E2430E"/>
    <w:rsid w:val="00E405E3"/>
    <w:rsid w:val="00E4691B"/>
    <w:rsid w:val="00E71088"/>
    <w:rsid w:val="00E74EA9"/>
    <w:rsid w:val="00E850FF"/>
    <w:rsid w:val="00EA6FB5"/>
    <w:rsid w:val="00EC314A"/>
    <w:rsid w:val="00EC6D09"/>
    <w:rsid w:val="00ED75A9"/>
    <w:rsid w:val="00F07211"/>
    <w:rsid w:val="00F12DB3"/>
    <w:rsid w:val="00F35E59"/>
    <w:rsid w:val="00F45727"/>
    <w:rsid w:val="00F729FB"/>
    <w:rsid w:val="00F81D92"/>
    <w:rsid w:val="00F863C1"/>
    <w:rsid w:val="00FC3BBC"/>
    <w:rsid w:val="00FD3301"/>
    <w:rsid w:val="14EE6C3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hr-HR" w:eastAsia="en-US" w:bidi="ar-SA"/>
      <w14:ligatures w14:val="standardContextual"/>
    </w:rPr>
  </w:style>
  <w:style w:type="paragraph" w:styleId="2">
    <w:name w:val="heading 1"/>
    <w:basedOn w:val="1"/>
    <w:next w:val="1"/>
    <w:link w:val="25"/>
    <w:qFormat/>
    <w:uiPriority w:val="9"/>
    <w:pPr>
      <w:keepNext/>
      <w:keepLines/>
      <w:spacing w:before="240" w:after="0"/>
      <w:jc w:val="center"/>
      <w:outlineLvl w:val="0"/>
    </w:pPr>
    <w:rPr>
      <w:rFonts w:eastAsiaTheme="majorEastAsia" w:cstheme="majorBidi"/>
      <w:b/>
      <w:sz w:val="28"/>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paragraph" w:styleId="6">
    <w:name w:val="annotation text"/>
    <w:basedOn w:val="1"/>
    <w:link w:val="16"/>
    <w:unhideWhenUsed/>
    <w:qFormat/>
    <w:uiPriority w:val="99"/>
    <w:pPr>
      <w:spacing w:line="240" w:lineRule="auto"/>
    </w:pPr>
    <w:rPr>
      <w:sz w:val="20"/>
      <w:szCs w:val="20"/>
    </w:rPr>
  </w:style>
  <w:style w:type="paragraph" w:styleId="7">
    <w:name w:val="annotation subject"/>
    <w:basedOn w:val="6"/>
    <w:next w:val="6"/>
    <w:link w:val="17"/>
    <w:semiHidden/>
    <w:unhideWhenUsed/>
    <w:qFormat/>
    <w:uiPriority w:val="99"/>
    <w:rPr>
      <w:b/>
      <w:bCs/>
    </w:rPr>
  </w:style>
  <w:style w:type="paragraph" w:styleId="8">
    <w:name w:val="footer"/>
    <w:basedOn w:val="1"/>
    <w:link w:val="15"/>
    <w:unhideWhenUsed/>
    <w:uiPriority w:val="99"/>
    <w:pPr>
      <w:tabs>
        <w:tab w:val="center" w:pos="4513"/>
        <w:tab w:val="right" w:pos="9026"/>
      </w:tabs>
      <w:spacing w:after="0" w:line="240" w:lineRule="auto"/>
    </w:pPr>
  </w:style>
  <w:style w:type="paragraph" w:styleId="9">
    <w:name w:val="header"/>
    <w:basedOn w:val="1"/>
    <w:link w:val="14"/>
    <w:unhideWhenUsed/>
    <w:qFormat/>
    <w:uiPriority w:val="99"/>
    <w:pPr>
      <w:tabs>
        <w:tab w:val="center" w:pos="4513"/>
        <w:tab w:val="right" w:pos="9026"/>
      </w:tabs>
      <w:spacing w:after="0" w:line="240" w:lineRule="auto"/>
    </w:pPr>
  </w:style>
  <w:style w:type="paragraph" w:styleId="10">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sz w:val="24"/>
      <w:szCs w:val="24"/>
      <w:lang w:eastAsia="hr-HR"/>
      <w14:ligatures w14:val="none"/>
    </w:rPr>
  </w:style>
  <w:style w:type="character" w:styleId="11">
    <w:name w:val="Strong"/>
    <w:basedOn w:val="3"/>
    <w:qFormat/>
    <w:uiPriority w:val="22"/>
    <w:rPr>
      <w:b/>
      <w:bCs/>
    </w:rPr>
  </w:style>
  <w:style w:type="table" w:styleId="12">
    <w:name w:val="Table Grid"/>
    <w:basedOn w:val="4"/>
    <w:qFormat/>
    <w:uiPriority w:val="39"/>
    <w:pPr>
      <w:spacing w:after="0" w:line="240" w:lineRule="auto"/>
    </w:pPr>
    <w:rPr>
      <w:sz w:val="20"/>
      <w:szCs w:val="20"/>
      <w:lang w:eastAsia="hr-H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link w:val="19"/>
    <w:qFormat/>
    <w:uiPriority w:val="34"/>
    <w:pPr>
      <w:ind w:left="720"/>
      <w:contextualSpacing/>
    </w:pPr>
  </w:style>
  <w:style w:type="character" w:customStyle="1" w:styleId="14">
    <w:name w:val="Header Char"/>
    <w:basedOn w:val="3"/>
    <w:link w:val="9"/>
    <w:uiPriority w:val="99"/>
    <w:rPr>
      <w:kern w:val="2"/>
      <w14:ligatures w14:val="standardContextual"/>
    </w:rPr>
  </w:style>
  <w:style w:type="character" w:customStyle="1" w:styleId="15">
    <w:name w:val="Footer Char"/>
    <w:basedOn w:val="3"/>
    <w:link w:val="8"/>
    <w:uiPriority w:val="99"/>
    <w:rPr>
      <w:kern w:val="2"/>
      <w14:ligatures w14:val="standardContextual"/>
    </w:rPr>
  </w:style>
  <w:style w:type="character" w:customStyle="1" w:styleId="16">
    <w:name w:val="Comment Text Char"/>
    <w:basedOn w:val="3"/>
    <w:link w:val="6"/>
    <w:uiPriority w:val="99"/>
    <w:rPr>
      <w:kern w:val="2"/>
      <w:sz w:val="20"/>
      <w:szCs w:val="20"/>
      <w14:ligatures w14:val="standardContextual"/>
    </w:rPr>
  </w:style>
  <w:style w:type="character" w:customStyle="1" w:styleId="17">
    <w:name w:val="Comment Subject Char"/>
    <w:basedOn w:val="16"/>
    <w:link w:val="7"/>
    <w:semiHidden/>
    <w:qFormat/>
    <w:uiPriority w:val="99"/>
    <w:rPr>
      <w:b/>
      <w:bCs/>
      <w:kern w:val="2"/>
      <w:sz w:val="20"/>
      <w:szCs w:val="20"/>
      <w14:ligatures w14:val="standardContextual"/>
    </w:rPr>
  </w:style>
  <w:style w:type="paragraph" w:customStyle="1" w:styleId="18">
    <w:name w:val="Glava"/>
    <w:basedOn w:val="13"/>
    <w:link w:val="20"/>
    <w:qFormat/>
    <w:uiPriority w:val="0"/>
    <w:pPr>
      <w:numPr>
        <w:ilvl w:val="0"/>
        <w:numId w:val="1"/>
      </w:numPr>
      <w:spacing w:before="240" w:after="240" w:line="360" w:lineRule="auto"/>
      <w:ind w:left="0" w:firstLine="0"/>
      <w:jc w:val="center"/>
      <w:outlineLvl w:val="1"/>
    </w:pPr>
    <w:rPr>
      <w:rFonts w:cstheme="minorHAnsi"/>
      <w:b/>
      <w:bCs/>
      <w:sz w:val="24"/>
      <w:szCs w:val="24"/>
    </w:rPr>
  </w:style>
  <w:style w:type="character" w:customStyle="1" w:styleId="19">
    <w:name w:val="List Paragraph Char"/>
    <w:basedOn w:val="3"/>
    <w:link w:val="13"/>
    <w:qFormat/>
    <w:uiPriority w:val="34"/>
    <w:rPr>
      <w:kern w:val="2"/>
      <w14:ligatures w14:val="standardContextual"/>
    </w:rPr>
  </w:style>
  <w:style w:type="character" w:customStyle="1" w:styleId="20">
    <w:name w:val="Glava Char"/>
    <w:basedOn w:val="19"/>
    <w:link w:val="18"/>
    <w:qFormat/>
    <w:uiPriority w:val="0"/>
    <w:rPr>
      <w:rFonts w:cstheme="minorHAnsi"/>
      <w:b/>
      <w:bCs/>
      <w:kern w:val="2"/>
      <w:sz w:val="24"/>
      <w:szCs w:val="24"/>
      <w14:ligatures w14:val="standardContextual"/>
    </w:rPr>
  </w:style>
  <w:style w:type="paragraph" w:customStyle="1" w:styleId="21">
    <w:name w:val="Stavak"/>
    <w:basedOn w:val="13"/>
    <w:link w:val="22"/>
    <w:qFormat/>
    <w:uiPriority w:val="0"/>
    <w:pPr>
      <w:numPr>
        <w:ilvl w:val="1"/>
        <w:numId w:val="2"/>
      </w:numPr>
      <w:spacing w:before="120" w:after="0"/>
      <w:ind w:left="0" w:firstLine="227"/>
      <w:jc w:val="both"/>
      <w:outlineLvl w:val="3"/>
    </w:pPr>
    <w:rPr>
      <w:rFonts w:cstheme="minorHAnsi"/>
      <w:sz w:val="24"/>
      <w:szCs w:val="24"/>
    </w:rPr>
  </w:style>
  <w:style w:type="character" w:customStyle="1" w:styleId="22">
    <w:name w:val="Stavak Char"/>
    <w:basedOn w:val="19"/>
    <w:link w:val="21"/>
    <w:qFormat/>
    <w:uiPriority w:val="0"/>
    <w:rPr>
      <w:rFonts w:cstheme="minorHAnsi"/>
      <w:kern w:val="2"/>
      <w:sz w:val="24"/>
      <w:szCs w:val="24"/>
      <w14:ligatures w14:val="standardContextual"/>
    </w:rPr>
  </w:style>
  <w:style w:type="paragraph" w:customStyle="1" w:styleId="23">
    <w:name w:val="Članak X"/>
    <w:basedOn w:val="13"/>
    <w:link w:val="24"/>
    <w:qFormat/>
    <w:uiPriority w:val="0"/>
    <w:pPr>
      <w:numPr>
        <w:ilvl w:val="0"/>
        <w:numId w:val="2"/>
      </w:numPr>
      <w:spacing w:before="240" w:after="120"/>
      <w:jc w:val="center"/>
      <w:outlineLvl w:val="2"/>
    </w:pPr>
    <w:rPr>
      <w:rFonts w:cstheme="minorHAnsi"/>
      <w:b/>
      <w:bCs/>
      <w:sz w:val="24"/>
      <w:szCs w:val="24"/>
    </w:rPr>
  </w:style>
  <w:style w:type="character" w:customStyle="1" w:styleId="24">
    <w:name w:val="Članak X Char"/>
    <w:basedOn w:val="19"/>
    <w:link w:val="23"/>
    <w:qFormat/>
    <w:uiPriority w:val="0"/>
    <w:rPr>
      <w:rFonts w:cstheme="minorHAnsi"/>
      <w:b/>
      <w:bCs/>
      <w:kern w:val="2"/>
      <w:sz w:val="24"/>
      <w:szCs w:val="24"/>
      <w14:ligatures w14:val="standardContextual"/>
    </w:rPr>
  </w:style>
  <w:style w:type="character" w:customStyle="1" w:styleId="25">
    <w:name w:val="Heading 1 Char"/>
    <w:basedOn w:val="3"/>
    <w:link w:val="2"/>
    <w:uiPriority w:val="9"/>
    <w:rPr>
      <w:rFonts w:eastAsiaTheme="majorEastAsia" w:cstheme="majorBidi"/>
      <w:b/>
      <w:kern w:val="2"/>
      <w:sz w:val="28"/>
      <w:szCs w:val="32"/>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na\Desktop\3_Politika\Op&#263;in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Općina template</Template>
  <Pages>10</Pages>
  <Words>2541</Words>
  <Characters>15445</Characters>
  <Lines>128</Lines>
  <Paragraphs>36</Paragraphs>
  <TotalTime>0</TotalTime>
  <ScaleCrop>false</ScaleCrop>
  <LinksUpToDate>false</LinksUpToDate>
  <CharactersWithSpaces>17929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2026-07-24T14:38:00Z</dcterms:created>
  <dc:creator>Dina</dc:creator>
  <cp:lastModifiedBy>Matija Ladić</cp:lastModifiedBy>
  <dcterms:modified xsi:type="dcterms:W3CDTF">2026-08-11T11:54:01Z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FED02450C29C4FB1A800E6718FC20916_12</vt:lpwstr>
  </property>
</Properties>
</file>