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8F7B2">
      <w:pPr>
        <w:spacing w:after="0" w:line="276" w:lineRule="auto"/>
        <w:rPr>
          <w:rFonts w:ascii="Calibri" w:hAnsi="Calibri" w:eastAsia="Times New Roman" w:cs="Calibri"/>
          <w:kern w:val="0"/>
          <w:sz w:val="24"/>
          <w:szCs w:val="24"/>
          <w:lang w:eastAsia="hr-HR"/>
          <w14:ligatures w14:val="none"/>
        </w:rPr>
      </w:pPr>
      <w:r>
        <w:rPr>
          <w:rFonts w:ascii="Calibri" w:hAnsi="Calibri" w:eastAsia="Times New Roman" w:cs="Calibri"/>
          <w:kern w:val="0"/>
          <w:sz w:val="24"/>
          <w:szCs w:val="24"/>
          <w:lang w:eastAsia="hr-HR"/>
          <w14:ligatures w14:val="none"/>
        </w:rPr>
        <w:drawing>
          <wp:inline distT="0" distB="0" distL="0" distR="0">
            <wp:extent cx="1432560" cy="10744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32560" cy="1074420"/>
                    </a:xfrm>
                    <a:prstGeom prst="rect">
                      <a:avLst/>
                    </a:prstGeom>
                    <a:noFill/>
                    <a:ln>
                      <a:noFill/>
                    </a:ln>
                  </pic:spPr>
                </pic:pic>
              </a:graphicData>
            </a:graphic>
          </wp:inline>
        </w:drawing>
      </w:r>
    </w:p>
    <w:p w14:paraId="4BCF361B">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REPUBLIKA HRVATSKA</w:t>
      </w:r>
    </w:p>
    <w:p w14:paraId="675B976D">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MEĐIMURSKA ŽUPANIJA</w:t>
      </w:r>
    </w:p>
    <w:p w14:paraId="3FCD26D6">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 xml:space="preserve">DJEČJI VRTIĆ „MAGNOLIJA" </w:t>
      </w:r>
    </w:p>
    <w:p w14:paraId="3C57AB58">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PRIBISLAVEC</w:t>
      </w:r>
    </w:p>
    <w:p w14:paraId="1E6635F0">
      <w:pPr>
        <w:spacing w:after="0" w:line="276" w:lineRule="auto"/>
        <w:rPr>
          <w:rFonts w:ascii="Calibri" w:hAnsi="Calibri" w:eastAsia="Calibri" w:cs="Calibri"/>
          <w:kern w:val="0"/>
          <w:sz w:val="24"/>
          <w:szCs w:val="24"/>
          <w14:ligatures w14:val="none"/>
        </w:rPr>
      </w:pPr>
      <w:r>
        <w:rPr>
          <w:rFonts w:ascii="Calibri" w:hAnsi="Calibri" w:eastAsia="Times New Roman" w:cs="Calibri"/>
          <w:b/>
          <w:bCs/>
          <w:kern w:val="0"/>
          <w:sz w:val="24"/>
          <w:szCs w:val="24"/>
          <w:lang w:eastAsia="hr-HR"/>
          <w14:ligatures w14:val="none"/>
        </w:rPr>
        <w:t>UPRAVNO VIJEĆE</w:t>
      </w:r>
      <w:r>
        <w:rPr>
          <w:rFonts w:ascii="Calibri" w:hAnsi="Calibri" w:eastAsia="Calibri" w:cs="Calibri"/>
          <w:kern w:val="0"/>
          <w:sz w:val="24"/>
          <w:szCs w:val="24"/>
          <w14:ligatures w14:val="none"/>
        </w:rPr>
        <w:br w:type="textWrapping"/>
      </w:r>
    </w:p>
    <w:p w14:paraId="0DE24980">
      <w:pPr>
        <w:spacing w:line="276" w:lineRule="auto"/>
        <w:jc w:val="both"/>
        <w:rPr>
          <w:rFonts w:ascii="Calibri" w:hAnsi="Calibri" w:eastAsia="Calibri" w:cs="Calibri"/>
          <w:kern w:val="0"/>
          <w:sz w:val="24"/>
          <w:szCs w:val="24"/>
          <w14:ligatures w14:val="none"/>
        </w:rPr>
      </w:pPr>
      <w:r>
        <w:rPr>
          <w:rFonts w:ascii="Calibri" w:hAnsi="Calibri" w:eastAsia="Times New Roman" w:cs="Calibri"/>
          <w:kern w:val="0"/>
          <w:sz w:val="24"/>
          <w:szCs w:val="24"/>
          <w:lang w:eastAsia="hr-HR"/>
          <w14:ligatures w14:val="none"/>
        </w:rPr>
        <w:t xml:space="preserve">Na temelju članka 26. Zakona o radu („Narodne novine“ br. 93/14, 127/17, 98/19, 151/22 i 64/23), članka 50. Zakona o predškolskom odgoju i obrazovanju („Narodne novine“ br. 10/97, 107/07, 94/13, 98/19, 57/22, 101/23, 145/23, 145/24, 146/25, 22/26) te članka 85. Statuta Dječjeg vrtića „Magnolija“ </w:t>
      </w:r>
      <w:r>
        <w:rPr>
          <w:rFonts w:ascii="Calibri" w:hAnsi="Calibri" w:eastAsia="Calibri" w:cs="Calibri"/>
          <w:kern w:val="0"/>
          <w:sz w:val="24"/>
          <w:szCs w:val="24"/>
          <w14:ligatures w14:val="none"/>
        </w:rPr>
        <w:t>(KLASA: 601-01/26-01/05, URBROJ: 2109-26-06-26-06 od 16. travnja 2026. godine)</w:t>
      </w:r>
      <w:r>
        <w:rPr>
          <w:rFonts w:ascii="Calibri" w:hAnsi="Calibri" w:eastAsia="Times New Roman" w:cs="Calibri"/>
          <w:kern w:val="0"/>
          <w:sz w:val="24"/>
          <w:szCs w:val="24"/>
          <w:lang w:eastAsia="hr-HR"/>
          <w14:ligatures w14:val="none"/>
        </w:rPr>
        <w:t>, Upravno vijeće Dječjeg vrtića „Magnolija“ je na 4. sjednici održanoj 23. srpnja 2026. godine donijelo</w:t>
      </w:r>
    </w:p>
    <w:p w14:paraId="3D2A7390">
      <w:pPr>
        <w:spacing w:after="0"/>
        <w:jc w:val="both"/>
        <w:rPr>
          <w:rFonts w:ascii="Calibri" w:hAnsi="Calibri" w:eastAsia="Calibri" w:cs="Calibri"/>
          <w:kern w:val="0"/>
          <w:sz w:val="24"/>
          <w:szCs w:val="24"/>
          <w14:ligatures w14:val="none"/>
        </w:rPr>
      </w:pPr>
    </w:p>
    <w:p w14:paraId="3EE176CB"/>
    <w:p w14:paraId="6A97308C">
      <w:pPr>
        <w:pStyle w:val="2"/>
      </w:pPr>
      <w:r>
        <w:t xml:space="preserve">PRAVILNIK </w:t>
      </w:r>
      <w:r>
        <w:br w:type="textWrapping"/>
      </w:r>
      <w:r>
        <w:t>o radu</w:t>
      </w:r>
      <w:r>
        <w:br w:type="textWrapping"/>
      </w:r>
      <w:r>
        <w:t>Dječjeg vrtića „Magnolija“</w:t>
      </w:r>
    </w:p>
    <w:p w14:paraId="452E4CCA">
      <w:pPr>
        <w:spacing w:after="0"/>
        <w:jc w:val="center"/>
        <w:rPr>
          <w:rFonts w:ascii="Calibri" w:hAnsi="Calibri" w:eastAsia="Calibri" w:cs="Calibri"/>
          <w:b/>
          <w:bCs/>
          <w:kern w:val="0"/>
          <w:sz w:val="24"/>
          <w:szCs w:val="24"/>
          <w14:ligatures w14:val="none"/>
        </w:rPr>
      </w:pPr>
    </w:p>
    <w:p w14:paraId="1C44CABC">
      <w:pPr>
        <w:rPr>
          <w:rFonts w:ascii="Calibri" w:hAnsi="Calibri" w:eastAsia="Calibri" w:cs="Calibri"/>
          <w:b/>
          <w:bCs/>
          <w:kern w:val="0"/>
          <w14:ligatures w14:val="none"/>
        </w:rPr>
      </w:pPr>
    </w:p>
    <w:p w14:paraId="1622509C">
      <w:pPr>
        <w:pStyle w:val="17"/>
      </w:pPr>
      <w:r>
        <w:t xml:space="preserve"> OPĆE ODREDBE</w:t>
      </w:r>
    </w:p>
    <w:p w14:paraId="3D7B40FF">
      <w:pPr>
        <w:pStyle w:val="22"/>
      </w:pPr>
      <w:r>
        <w:t>Predmet Pravilnika</w:t>
      </w:r>
    </w:p>
    <w:p w14:paraId="3C7945B0">
      <w:pPr>
        <w:pStyle w:val="20"/>
      </w:pPr>
      <w:r>
        <w:t>Ovim Pravilnikom uređuju se prava i obveze iz radnog odnosa radnika zaposlenih u Dječjem vrtiću „Magnolija“ (u daljnjem tekstu: Vrtić), organizacija rada, sklapanje, sadržaj i prestanak ugovora o radu, radno vrijeme, odmori i dopusti, plaća i druga materijalna prava, stručno usavršavanje, zaštita života, zdravlja, dostojanstva i privatnosti radnika, odgovornost radnika te druga pitanja od značaja za radne odnose u Vrtiću.</w:t>
      </w:r>
    </w:p>
    <w:p w14:paraId="13733C9E">
      <w:pPr>
        <w:pStyle w:val="20"/>
      </w:pPr>
      <w:r>
        <w:t>Ovim Pravilnikom uređuju se i pitanja profesionalnog ponašanja radnika, zaštite poslovnih interesa Vrtića, korištenja sredstava rada, informacijskih tehnologija i drugih pitanja važnih za zakonit, siguran i učinkovit rad ustanove.</w:t>
      </w:r>
    </w:p>
    <w:p w14:paraId="7D0C00C8">
      <w:pPr>
        <w:pStyle w:val="22"/>
      </w:pPr>
      <w:r>
        <w:t>Primjena Pravilnika</w:t>
      </w:r>
    </w:p>
    <w:p w14:paraId="5086F32A">
      <w:pPr>
        <w:pStyle w:val="20"/>
      </w:pPr>
      <w:r>
        <w:t>Odredbe ovoga Pravilnika primjenjuju se na sve radnike zaposlene u Vrtiću, neovisno o vrsti ugovora o radu, radnom vremenu ili nazivu radnog mjesta, osim ako je posebnim zakonom drukčije određeno.</w:t>
      </w:r>
    </w:p>
    <w:p w14:paraId="642B6B7F">
      <w:pPr>
        <w:pStyle w:val="20"/>
      </w:pPr>
      <w:r>
        <w:t>Prava i obveze ravnatelja uređuju se ovim Pravilnikom ako posebnim propisom ili Statutom nije drukčije određeno.</w:t>
      </w:r>
    </w:p>
    <w:p w14:paraId="70C7CDC9">
      <w:pPr>
        <w:pStyle w:val="20"/>
      </w:pPr>
      <w:r>
        <w:t>Izrazi koji se koriste u ovom Pravilniku, a imaju rodno značenje, odnose se jednako na osobe ženskoga i muškoga spola.</w:t>
      </w:r>
    </w:p>
    <w:p w14:paraId="61B25E8A">
      <w:pPr>
        <w:pStyle w:val="22"/>
      </w:pPr>
      <w:r>
        <w:t>Izvori radnog prava</w:t>
      </w:r>
    </w:p>
    <w:p w14:paraId="12E1C308">
      <w:pPr>
        <w:pStyle w:val="20"/>
      </w:pPr>
      <w:r>
        <w:t>Prava, obveze i odgovornosti iz radnog odnosa uređuju se:</w:t>
      </w:r>
    </w:p>
    <w:p w14:paraId="7A03B6C9">
      <w:pPr>
        <w:numPr>
          <w:ilvl w:val="2"/>
          <w:numId w:val="3"/>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Ustavom Republike Hrvatske, </w:t>
      </w:r>
    </w:p>
    <w:p w14:paraId="7B8835A7">
      <w:pPr>
        <w:numPr>
          <w:ilvl w:val="2"/>
          <w:numId w:val="3"/>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Zakonom o radu, </w:t>
      </w:r>
    </w:p>
    <w:p w14:paraId="337F3297">
      <w:pPr>
        <w:numPr>
          <w:ilvl w:val="2"/>
          <w:numId w:val="3"/>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Zakonom o predškolskom odgoju i obrazovanju, </w:t>
      </w:r>
    </w:p>
    <w:p w14:paraId="31C4AC7D">
      <w:pPr>
        <w:numPr>
          <w:ilvl w:val="2"/>
          <w:numId w:val="3"/>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Zakonom o ustanovama, </w:t>
      </w:r>
    </w:p>
    <w:p w14:paraId="611A04E2">
      <w:pPr>
        <w:numPr>
          <w:ilvl w:val="2"/>
          <w:numId w:val="3"/>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drugim zakonima i podzakonskim propisima, </w:t>
      </w:r>
    </w:p>
    <w:p w14:paraId="3E3A4B43">
      <w:pPr>
        <w:numPr>
          <w:ilvl w:val="2"/>
          <w:numId w:val="3"/>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Statutom Vrtića, </w:t>
      </w:r>
    </w:p>
    <w:p w14:paraId="5D66182A">
      <w:pPr>
        <w:numPr>
          <w:ilvl w:val="2"/>
          <w:numId w:val="3"/>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ovim Pravilnikom, </w:t>
      </w:r>
    </w:p>
    <w:p w14:paraId="30B9E065">
      <w:pPr>
        <w:numPr>
          <w:ilvl w:val="2"/>
          <w:numId w:val="3"/>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drugim općim aktima Vrtića, </w:t>
      </w:r>
    </w:p>
    <w:p w14:paraId="65E25410">
      <w:pPr>
        <w:numPr>
          <w:ilvl w:val="2"/>
          <w:numId w:val="3"/>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ugovorom o radu. </w:t>
      </w:r>
    </w:p>
    <w:p w14:paraId="7742DE02">
      <w:pPr>
        <w:pStyle w:val="22"/>
      </w:pPr>
      <w:r>
        <w:t>Načela radnih odnosa</w:t>
      </w:r>
    </w:p>
    <w:p w14:paraId="5B4BE358">
      <w:pPr>
        <w:pStyle w:val="20"/>
      </w:pPr>
      <w:r>
        <w:t>Radni odnosi u Vrtiću temelje se na načelima zakonitosti, profesionalnosti, odgovornosti, međusobnog poštovanja, zaštite dostojanstva, jednakog postupanja, zabrane diskriminacije i zaštite najboljeg interesa djeteta.</w:t>
      </w:r>
    </w:p>
    <w:p w14:paraId="095D811C">
      <w:pPr>
        <w:pStyle w:val="20"/>
      </w:pPr>
      <w:r>
        <w:t>Vrtić promiče kulturu suradnje, otvorene komunikacije, stručnog usavršavanja i međusobnog uvažavanja svih radnika.</w:t>
      </w:r>
    </w:p>
    <w:p w14:paraId="632ED65A">
      <w:pPr>
        <w:pStyle w:val="20"/>
      </w:pPr>
      <w:r>
        <w:t>Svaki radnik dužan je svojim ponašanjem pridonositi ostvarivanju djelatnosti, ugleda i ciljeva Vrtića.</w:t>
      </w:r>
    </w:p>
    <w:p w14:paraId="7D70B873">
      <w:pPr>
        <w:pStyle w:val="22"/>
      </w:pPr>
      <w:r>
        <w:t>Načelo dobre vjere i suradnje</w:t>
      </w:r>
    </w:p>
    <w:p w14:paraId="68611E2B">
      <w:pPr>
        <w:pStyle w:val="20"/>
      </w:pPr>
      <w:r>
        <w:t>Poslodavac i radnici dužni su međusobna prava i obveze ostvarivati savjesno, pošteno i u dobroj vjeri.</w:t>
      </w:r>
    </w:p>
    <w:p w14:paraId="70CF4457">
      <w:pPr>
        <w:pStyle w:val="20"/>
      </w:pPr>
      <w:r>
        <w:t>U izvršavanju obveza iz radnog odnosa radnici su dužni međusobno surađivati, razmjenjivati informacije potrebne za obavljanje poslova te pridonositi stvaranju sigurnog, poticajnog i profesionalnog radnog okruženja.</w:t>
      </w:r>
    </w:p>
    <w:p w14:paraId="2260BD1F">
      <w:pPr>
        <w:pStyle w:val="22"/>
      </w:pPr>
      <w:r>
        <w:t>Nadležnost za odlučivanje</w:t>
      </w:r>
    </w:p>
    <w:p w14:paraId="744415BE">
      <w:pPr>
        <w:pStyle w:val="20"/>
      </w:pPr>
      <w:r>
        <w:t>O pravima i obvezama radnika iz radnog odnosa odlučuje ravnatelj, ako zakonom, Statutom ili drugim općim aktom nije određena nadležnost drugog tijela.</w:t>
      </w:r>
    </w:p>
    <w:p w14:paraId="7302FECD">
      <w:pPr>
        <w:pStyle w:val="20"/>
      </w:pPr>
      <w:r>
        <w:t>Upravno vijeće odlučuje o pitanjima iz radnih odnosa kada je to izričito propisano zakonom ili Statutom.</w:t>
      </w:r>
    </w:p>
    <w:p w14:paraId="54F5E426">
      <w:pPr>
        <w:pStyle w:val="20"/>
      </w:pPr>
      <w:r>
        <w:t>Radnik ima pravo na zaštitu svojih prava u skladu sa zakonom i ovim Pravilnikom.</w:t>
      </w:r>
    </w:p>
    <w:p w14:paraId="783E725F">
      <w:pPr>
        <w:rPr>
          <w:rFonts w:ascii="Calibri" w:hAnsi="Calibri" w:eastAsia="Calibri" w:cs="Calibri"/>
          <w:kern w:val="0"/>
          <w14:ligatures w14:val="none"/>
        </w:rPr>
      </w:pPr>
    </w:p>
    <w:p w14:paraId="2DE80486">
      <w:pPr>
        <w:rPr>
          <w:rFonts w:ascii="Calibri" w:hAnsi="Calibri" w:eastAsia="Calibri" w:cs="Calibri"/>
          <w:kern w:val="0"/>
          <w14:ligatures w14:val="none"/>
        </w:rPr>
      </w:pPr>
    </w:p>
    <w:p w14:paraId="28629E55">
      <w:pPr>
        <w:rPr>
          <w:rFonts w:ascii="Calibri" w:hAnsi="Calibri" w:eastAsia="Calibri" w:cs="Calibri"/>
          <w:kern w:val="0"/>
          <w14:ligatures w14:val="none"/>
        </w:rPr>
      </w:pPr>
    </w:p>
    <w:p w14:paraId="1148DF18">
      <w:pPr>
        <w:pStyle w:val="17"/>
      </w:pPr>
      <w:r>
        <w:t xml:space="preserve"> ZASNIVANJE RADNOG ODNOSA</w:t>
      </w:r>
    </w:p>
    <w:p w14:paraId="33A35484">
      <w:pPr>
        <w:pStyle w:val="22"/>
      </w:pPr>
      <w:r>
        <w:t>Načela zapošljavanja</w:t>
      </w:r>
    </w:p>
    <w:p w14:paraId="1BEE19A8">
      <w:pPr>
        <w:pStyle w:val="20"/>
      </w:pPr>
      <w:r>
        <w:t>Radni odnos u Vrtiću zasniva se na temelju slobode rada, jednakih mogućnosti, stručnosti, kompetentnosti kandidata i transparentnosti postupka zapošljavanja.</w:t>
      </w:r>
    </w:p>
    <w:p w14:paraId="185B035F">
      <w:pPr>
        <w:pStyle w:val="20"/>
      </w:pPr>
      <w:r>
        <w:t>Pri zapošljavanju nije dopuštena izravna ili neizravna diskriminacija po bilo kojoj osnovi propisanoj zakonom.</w:t>
      </w:r>
    </w:p>
    <w:p w14:paraId="769D15F8">
      <w:pPr>
        <w:pStyle w:val="20"/>
      </w:pPr>
      <w:r>
        <w:t>U postupku zapošljavanja Vrtić je dužan osigurati zaštitu dostojanstva, privatnosti i osobnih podataka kandidata.</w:t>
      </w:r>
    </w:p>
    <w:p w14:paraId="340D8CCD">
      <w:pPr>
        <w:pStyle w:val="22"/>
      </w:pPr>
      <w:r>
        <w:t>Uvjeti za zasnivanje radnog odnosa</w:t>
      </w:r>
    </w:p>
    <w:p w14:paraId="06DF6ED7">
      <w:pPr>
        <w:pStyle w:val="20"/>
      </w:pPr>
      <w:r>
        <w:t>Radni odnos može zasnovati osoba koja ispunjava opće uvjete propisane Zakonom o radu te posebne uvjete propisane Zakonom o predškolskom odgoju i obrazovanju, drugim propisima i Pravilnikom o unutarnjem ustrojstvu i načinu rada Vrtića.</w:t>
      </w:r>
    </w:p>
    <w:p w14:paraId="44ABE3D4">
      <w:pPr>
        <w:pStyle w:val="20"/>
      </w:pPr>
      <w:r>
        <w:t>Kandidat je dužan prije sklapanja ugovora o radu dostaviti isprave kojima dokazuje ispunjavanje propisanih uvjeta te druge isprave kada je to propisano ovim Pravilnikom ili posebnim propisom.</w:t>
      </w:r>
    </w:p>
    <w:p w14:paraId="11501EED">
      <w:pPr>
        <w:pStyle w:val="20"/>
      </w:pPr>
      <w:r>
        <w:t>Ako se nakon zasnivanja radnog odnosa utvrdi da radnik ne ispunjava propisane uvjete ili je dostavio neistinite podatke, Vrtić će postupiti u skladu sa zakonom.</w:t>
      </w:r>
    </w:p>
    <w:p w14:paraId="42857198">
      <w:pPr>
        <w:pStyle w:val="22"/>
      </w:pPr>
      <w:r>
        <w:t xml:space="preserve"> Postupak zapošljavanja</w:t>
      </w:r>
    </w:p>
    <w:p w14:paraId="1463A96A">
      <w:pPr>
        <w:pStyle w:val="20"/>
      </w:pPr>
      <w:r>
        <w:t>Radni odnos zasniva se na temelju javnog natječaja, osim u slučajevima kada je zakonom dopušteno zapošljavanje bez provedbe natječaja.</w:t>
      </w:r>
    </w:p>
    <w:p w14:paraId="4E670F24">
      <w:pPr>
        <w:pStyle w:val="20"/>
      </w:pPr>
      <w:r>
        <w:t>Natječaj raspisuje ravnatelj i objavljuje se na način propisan zakonom.</w:t>
      </w:r>
    </w:p>
    <w:p w14:paraId="62BCA46E">
      <w:pPr>
        <w:pStyle w:val="20"/>
      </w:pPr>
      <w:r>
        <w:t>Sadržaj natječaja, način podnošenja prijava, rokovi i postupak odabira kandidata uređuju se zakonom i drugim propisima.</w:t>
      </w:r>
    </w:p>
    <w:p w14:paraId="77294910">
      <w:pPr>
        <w:pStyle w:val="22"/>
      </w:pPr>
      <w:r>
        <w:t>Odabir kandidata</w:t>
      </w:r>
    </w:p>
    <w:p w14:paraId="05E4E8C5">
      <w:pPr>
        <w:pStyle w:val="20"/>
      </w:pPr>
      <w:r>
        <w:t>Nakon provedenog postupka zapošljavanja ravnatelj donosi odluku o izboru kandidata.</w:t>
      </w:r>
    </w:p>
    <w:p w14:paraId="39C28E15">
      <w:pPr>
        <w:pStyle w:val="20"/>
      </w:pPr>
      <w:r>
        <w:t>Kandidati imaju pravo biti obaviješteni o ishodu natječaja na način propisan zakonom.</w:t>
      </w:r>
    </w:p>
    <w:p w14:paraId="77D17E2A">
      <w:pPr>
        <w:pStyle w:val="20"/>
      </w:pPr>
      <w:r>
        <w:t>Dokumentacija prikupljena tijekom postupka zapošljavanja obrađuje se i čuva u skladu s propisima o zaštiti osobnih podataka i arhivskom gradivu.</w:t>
      </w:r>
    </w:p>
    <w:p w14:paraId="09B9DC2D">
      <w:pPr>
        <w:pStyle w:val="22"/>
      </w:pPr>
      <w:r>
        <w:t>Ugovor o radu</w:t>
      </w:r>
    </w:p>
    <w:p w14:paraId="3A4057C1">
      <w:pPr>
        <w:pStyle w:val="20"/>
      </w:pPr>
      <w:r>
        <w:t>Radni odnos zasniva se sklapanjem ugovora o radu u pisanom obliku prije početka rada.</w:t>
      </w:r>
    </w:p>
    <w:p w14:paraId="517363CD">
      <w:pPr>
        <w:pStyle w:val="20"/>
      </w:pPr>
      <w:r>
        <w:t>Ugovor o radu mora sadržavati podatke propisane Zakonom o radu.</w:t>
      </w:r>
    </w:p>
    <w:p w14:paraId="52C87D66">
      <w:pPr>
        <w:pStyle w:val="20"/>
      </w:pPr>
      <w:r>
        <w:t>Ugovor o radu u ime Vrtića sklapa ravnatelj.</w:t>
      </w:r>
    </w:p>
    <w:p w14:paraId="707F884B">
      <w:pPr>
        <w:pStyle w:val="20"/>
      </w:pPr>
      <w:r>
        <w:t>Izmjene i dopune ugovora o radu provode se u skladu sa zakonom.</w:t>
      </w:r>
    </w:p>
    <w:p w14:paraId="7FE89A12">
      <w:pPr>
        <w:pStyle w:val="22"/>
      </w:pPr>
      <w:r>
        <w:t>Vrste ugovora o radu</w:t>
      </w:r>
    </w:p>
    <w:p w14:paraId="196B9516">
      <w:pPr>
        <w:pStyle w:val="20"/>
      </w:pPr>
      <w:r>
        <w:t>Ugovor o radu može se sklopiti na neodređeno ili određeno vrijeme te s punim ili nepunim radnim vremenom, u skladu sa Zakonom o radu.</w:t>
      </w:r>
    </w:p>
    <w:p w14:paraId="4F4319E0">
      <w:pPr>
        <w:pStyle w:val="20"/>
      </w:pPr>
      <w:r>
        <w:t>Ugovor o radu na određeno vrijeme sklapa se samo kada za to postoje razlozi propisani zakonom ili posebnim propisima.</w:t>
      </w:r>
    </w:p>
    <w:p w14:paraId="49D53CB7">
      <w:pPr>
        <w:pStyle w:val="22"/>
      </w:pPr>
      <w:r>
        <w:t>Zdravstvena sposobnost radnika</w:t>
      </w:r>
    </w:p>
    <w:p w14:paraId="14870C1A">
      <w:pPr>
        <w:pStyle w:val="20"/>
      </w:pPr>
      <w:r>
        <w:t>Izabrani kandidat odnosno radnik dužan je, na zahtjev Dječjeg vrtića „Magnolija“, pristupiti zdravstvenom pregledu medicine rada radi utvrđivanja zdravstvene sposobnosti za obavljanje poslova radnog mjesta, kada je to propisano zakonom, drugim propisom ili aktom poslodavca.</w:t>
      </w:r>
    </w:p>
    <w:p w14:paraId="1BE81033">
      <w:pPr>
        <w:pStyle w:val="20"/>
      </w:pPr>
      <w:r>
        <w:t>Radnik je dužan pristupiti zdravstvenom pregledu i dostaviti uvjerenje o zdravstvenoj sposobnosti u roku koji odredi poslodavac, vodeći računa o prirodi poslova radnog mjesta i važećim propisima.</w:t>
      </w:r>
    </w:p>
    <w:p w14:paraId="30C22455">
      <w:pPr>
        <w:pStyle w:val="20"/>
      </w:pPr>
      <w:r>
        <w:t>Ako radnik bez opravdanog razloga ne pristupi zdravstvenom pregledu, ne dostavi uvjerenje u određenom roku ili se utvrdi da ne ispunjava zdravstvene uvjete za obavljanje poslova radnog mjesta, poslodavac može poduzeti odgovarajuće mjere, uključujući otkaz ugovora o radu, u skladu sa Zakonom o radu i drugim važećim propisima.</w:t>
      </w:r>
    </w:p>
    <w:p w14:paraId="22F8A660">
      <w:pPr>
        <w:pStyle w:val="20"/>
      </w:pPr>
      <w:r>
        <w:t xml:space="preserve"> Troškove zdravstvenog pregleda snosi poslodavac kada se pregled obavlja na njegov zahtjev, sukladno važećim propisima.</w:t>
      </w:r>
    </w:p>
    <w:p w14:paraId="5C7071AF">
      <w:pPr>
        <w:pStyle w:val="22"/>
      </w:pPr>
      <w:r>
        <w:t>Probni rad</w:t>
      </w:r>
    </w:p>
    <w:p w14:paraId="60C6256F">
      <w:pPr>
        <w:pStyle w:val="20"/>
      </w:pPr>
      <w:r>
        <w:t>Prilikom sklapanja ugovora o radu može se ugovoriti probni rad u skladu sa Zakonom o radu.</w:t>
      </w:r>
    </w:p>
    <w:p w14:paraId="2C96EB84">
      <w:pPr>
        <w:pStyle w:val="20"/>
      </w:pPr>
      <w:r>
        <w:t>Tijekom probnog rada prati se stručnost, samostalnost, odgovornost, odnos prema radu, komunikacija s djecom, roditeljima i drugim radnicima te sposobnost samostalnog obavljanja poslova radnog mjesta.</w:t>
      </w:r>
    </w:p>
    <w:p w14:paraId="34D5F8C7">
      <w:pPr>
        <w:pStyle w:val="20"/>
      </w:pPr>
      <w:r>
        <w:t>Ocjenu uspješnosti probnog rada daje neposredno nadređena osoba ili osoba koju odredi ravnatelj.</w:t>
      </w:r>
    </w:p>
    <w:p w14:paraId="0FB5AB42">
      <w:pPr>
        <w:pStyle w:val="20"/>
      </w:pPr>
      <w:r>
        <w:t>Ako radnik tijekom probnog rada ne zadovolji, ugovor o radu može se otkazati na način propisan Zakonom o radu.</w:t>
      </w:r>
    </w:p>
    <w:p w14:paraId="596551DE">
      <w:pPr>
        <w:pStyle w:val="22"/>
      </w:pPr>
      <w:r>
        <w:t>Pripravništvo i mentorstvo</w:t>
      </w:r>
    </w:p>
    <w:p w14:paraId="1F029CF3">
      <w:pPr>
        <w:pStyle w:val="20"/>
      </w:pPr>
      <w:r>
        <w:t>Pripravništvo i mentorstvo provode se kada je to propisano zakonom ili drugim propisom.</w:t>
      </w:r>
    </w:p>
    <w:p w14:paraId="424BCDF3">
      <w:pPr>
        <w:pStyle w:val="20"/>
      </w:pPr>
      <w:r>
        <w:t>Ravnatelj imenuje mentora pripravniku ili drugom radniku kojem je potrebno stručno uvođenje u rad.</w:t>
      </w:r>
    </w:p>
    <w:p w14:paraId="7128BB8A">
      <w:pPr>
        <w:pStyle w:val="20"/>
      </w:pPr>
      <w:r>
        <w:t>Mentor pruža stručnu pomoć, prati rad pripravnika te sastavlja izvješće kada je to propisano posebnim propisima ili odlukom ravnatelja.</w:t>
      </w:r>
    </w:p>
    <w:p w14:paraId="660B7FCC">
      <w:pPr>
        <w:pStyle w:val="22"/>
      </w:pPr>
      <w:r>
        <w:t>Upoznavanje s radom i općim aktima</w:t>
      </w:r>
    </w:p>
    <w:p w14:paraId="6232A8CC">
      <w:pPr>
        <w:pStyle w:val="20"/>
      </w:pPr>
      <w:r>
        <w:t>Prije početka rada radnik se upoznaje s organizacijom rada, općim aktima Vrtića, pravilima zaštite na radu, zaštite od požara, zaštite osobnih podataka i drugim pravilima važnim za obavljanje poslova.</w:t>
      </w:r>
    </w:p>
    <w:p w14:paraId="4C828555">
      <w:pPr>
        <w:pStyle w:val="20"/>
      </w:pPr>
      <w:r>
        <w:t>Radnik potpisom potvrđuje da je upoznat s aktima i pravilima iz stavka 1. ovoga članka.</w:t>
      </w:r>
    </w:p>
    <w:p w14:paraId="4641E4F2">
      <w:pPr>
        <w:pStyle w:val="20"/>
      </w:pPr>
      <w:r>
        <w:t xml:space="preserve">Vrtić vodi Evidenciju upoznavanja radnika s općim aktima na obrascu iz </w:t>
      </w:r>
      <w:r>
        <w:rPr>
          <w:b/>
          <w:bCs/>
        </w:rPr>
        <w:t>Priloga 6. – Evidencija upoznavanja radnika s općim aktima</w:t>
      </w:r>
      <w:r>
        <w:t>, koji je sastavni dio ovoga Pravilnika.</w:t>
      </w:r>
    </w:p>
    <w:p w14:paraId="68F8F44C">
      <w:pPr>
        <w:rPr>
          <w:rFonts w:ascii="Calibri" w:hAnsi="Calibri" w:eastAsia="Calibri" w:cs="Calibri"/>
          <w:b/>
          <w:bCs/>
          <w:kern w:val="0"/>
          <w14:ligatures w14:val="none"/>
        </w:rPr>
      </w:pPr>
    </w:p>
    <w:p w14:paraId="551EEAB1">
      <w:pPr>
        <w:pStyle w:val="17"/>
      </w:pPr>
      <w:r>
        <w:t xml:space="preserve"> PRAVA I OBVEZE RADNIKA</w:t>
      </w:r>
    </w:p>
    <w:p w14:paraId="1E1E6344">
      <w:pPr>
        <w:pStyle w:val="22"/>
      </w:pPr>
      <w:r>
        <w:t>Temeljne obveze radnika</w:t>
      </w:r>
    </w:p>
    <w:p w14:paraId="0ED2EED0">
      <w:pPr>
        <w:pStyle w:val="20"/>
      </w:pPr>
      <w:r>
        <w:t>Radnik je dužan poslove radnog mjesta obavljati savjesno, stručno, odgovorno i pravodobno, u skladu sa zakonom, ovim Pravilnikom, drugim općim aktima Vrtića, pravilima struke i uputama ravnatelja.</w:t>
      </w:r>
    </w:p>
    <w:p w14:paraId="4D206380">
      <w:pPr>
        <w:pStyle w:val="20"/>
      </w:pPr>
      <w:r>
        <w:t>Radnik je dužan štititi interese Vrtića, prava djece i roditelja te svojim radom i ponašanjem pridonositi kvalitetnom ostvarivanju djelatnosti Vrtića.</w:t>
      </w:r>
    </w:p>
    <w:p w14:paraId="6E95F958">
      <w:pPr>
        <w:pStyle w:val="20"/>
      </w:pPr>
      <w:r>
        <w:t>Radnik je obvezan kontinuirano održavati i unapređivati stručna znanja potrebna za obavljanje poslova radnog mjesta.</w:t>
      </w:r>
    </w:p>
    <w:p w14:paraId="26052C15">
      <w:pPr>
        <w:pStyle w:val="22"/>
      </w:pPr>
      <w:r>
        <w:t>Profesionalno ponašanje</w:t>
      </w:r>
    </w:p>
    <w:p w14:paraId="2F78DFD2">
      <w:pPr>
        <w:pStyle w:val="20"/>
      </w:pPr>
      <w:r>
        <w:t>Radnik je dužan prema djeci, roditeljima, drugim radnicima i svim osobama s kojima dolazi u kontakt tijekom rada postupati profesionalno, pristojno i s poštovanjem.</w:t>
      </w:r>
    </w:p>
    <w:p w14:paraId="4B2F4BFD">
      <w:pPr>
        <w:pStyle w:val="20"/>
      </w:pPr>
      <w:r>
        <w:t>U radu s djecom radnik je dužan uvažavati njihovo dostojanstvo, razvojne potrebe, osobnost i pravo na sigurnost.</w:t>
      </w:r>
    </w:p>
    <w:p w14:paraId="7082F46F">
      <w:pPr>
        <w:pStyle w:val="20"/>
      </w:pPr>
      <w:r>
        <w:t>Zabranjeno je svako ponašanje kojim se ugrožava fizička ili psihička sigurnost djeteta, uključujući vrijeđanje, omalovažavanje, zastrašivanje, fizičko kažnjavanje ili drugi oblik neprimjerenog postupanja.</w:t>
      </w:r>
    </w:p>
    <w:p w14:paraId="6AE84A1F">
      <w:pPr>
        <w:pStyle w:val="20"/>
      </w:pPr>
      <w:r>
        <w:t>Radnik je dužan svojim ponašanjem čuvati ugled Vrtića i promicati profesionalne vrijednosti odgojno-obrazovne djelatnosti.</w:t>
      </w:r>
    </w:p>
    <w:p w14:paraId="31355292">
      <w:pPr>
        <w:pStyle w:val="22"/>
      </w:pPr>
      <w:r>
        <w:t>Izvršavanje radnih obveza</w:t>
      </w:r>
    </w:p>
    <w:p w14:paraId="65AD67CE">
      <w:pPr>
        <w:pStyle w:val="20"/>
      </w:pPr>
      <w:r>
        <w:t>Radnik je dužan izvršavati zakonite naloge ravnatelja i drugih ovlaštenih osoba koji se odnose na obavljanje poslova radnog mjesta.</w:t>
      </w:r>
    </w:p>
    <w:p w14:paraId="48742F97">
      <w:pPr>
        <w:pStyle w:val="20"/>
      </w:pPr>
      <w:r>
        <w:t>Ako radnik smatra da bi izvršenje naloga bilo protivno zakonu ili bi moglo prouzročiti štetu, dužan je na to odmah upozoriti osobu koja je nalog dala.</w:t>
      </w:r>
    </w:p>
    <w:p w14:paraId="2C5280F5">
      <w:pPr>
        <w:pStyle w:val="20"/>
      </w:pPr>
      <w:r>
        <w:t>U slučaju iz stavka 2. ovoga članka postupa se u skladu sa zakonom.</w:t>
      </w:r>
    </w:p>
    <w:p w14:paraId="0C4DE639">
      <w:pPr>
        <w:pStyle w:val="22"/>
      </w:pPr>
      <w:r>
        <w:t>Suradnja i međuljudski odnosi</w:t>
      </w:r>
    </w:p>
    <w:p w14:paraId="2385CDAF">
      <w:pPr>
        <w:pStyle w:val="20"/>
      </w:pPr>
      <w:r>
        <w:t>Radnici su dužni međusobno surađivati, razmjenjivati informacije potrebne za rad te doprinositi stvaranju poticajnog i sigurnog radnog okruženja.</w:t>
      </w:r>
    </w:p>
    <w:p w14:paraId="5F307628">
      <w:pPr>
        <w:pStyle w:val="20"/>
      </w:pPr>
      <w:r>
        <w:t>Nije dopušteno ponašanje kojim se narušavaju međuljudski odnosi ili onemogućuje uredno obavljanje poslova drugih radnika.</w:t>
      </w:r>
    </w:p>
    <w:p w14:paraId="6131D696">
      <w:pPr>
        <w:pStyle w:val="20"/>
      </w:pPr>
      <w:r>
        <w:t>Nesuglasice među radnicima nastoje se rješavati razgovorom i suradnjom, uz poštovanje dostojanstva svih sudionika.</w:t>
      </w:r>
    </w:p>
    <w:p w14:paraId="4CCE05CF"/>
    <w:p w14:paraId="099D5A76"/>
    <w:p w14:paraId="7FA7BD72">
      <w:pPr>
        <w:pStyle w:val="22"/>
      </w:pPr>
      <w:r>
        <w:t>Poslovna i profesionalna tajna</w:t>
      </w:r>
    </w:p>
    <w:p w14:paraId="611BBAA5">
      <w:pPr>
        <w:pStyle w:val="20"/>
      </w:pPr>
      <w:r>
        <w:t>Radnik je dužan čuvati kao povjerljive sve podatke koje sazna tijekom rada, a osobito podatke o djeci, roditeljima, radnicima te poslovanju Vrtića.</w:t>
      </w:r>
    </w:p>
    <w:p w14:paraId="7FD42C12">
      <w:pPr>
        <w:pStyle w:val="20"/>
      </w:pPr>
      <w:r>
        <w:t>Obveza čuvanja povjerljivosti traje i nakon prestanka radnog odnosa, u skladu sa zakonom.</w:t>
      </w:r>
    </w:p>
    <w:p w14:paraId="09ABB078">
      <w:pPr>
        <w:pStyle w:val="20"/>
      </w:pPr>
      <w:r>
        <w:t>Povjerljivi podaci mogu se priopćiti samo osobama koje na to imaju zakonsko ovlaštenje.</w:t>
      </w:r>
    </w:p>
    <w:p w14:paraId="2BBE4948">
      <w:pPr>
        <w:pStyle w:val="22"/>
      </w:pPr>
      <w:r>
        <w:t>Zaštita osobnih podataka</w:t>
      </w:r>
    </w:p>
    <w:p w14:paraId="3E0E1DC2">
      <w:pPr>
        <w:pStyle w:val="20"/>
      </w:pPr>
      <w:r>
        <w:t>Radnik je dužan osobne podatke obrađivati isključivo u okviru poslova koje obavlja i u skladu s propisima o zaštiti osobnih podataka.</w:t>
      </w:r>
    </w:p>
    <w:p w14:paraId="3E9863B5">
      <w:pPr>
        <w:pStyle w:val="20"/>
      </w:pPr>
      <w:r>
        <w:t>Zabranjeno je neovlašteno prikupljanje, umnožavanje, dostavljanje ili objavljivanje osobnih podataka.</w:t>
      </w:r>
    </w:p>
    <w:p w14:paraId="7735F47C">
      <w:pPr>
        <w:pStyle w:val="20"/>
      </w:pPr>
      <w:r>
        <w:t>Povreda odredbi ovoga članka smatra se povredom radne obveze.</w:t>
      </w:r>
    </w:p>
    <w:p w14:paraId="21842EAF">
      <w:pPr>
        <w:pStyle w:val="22"/>
      </w:pPr>
      <w:r>
        <w:t>Sukob interesa i primanje darova</w:t>
      </w:r>
    </w:p>
    <w:p w14:paraId="66FFB8ED">
      <w:pPr>
        <w:pStyle w:val="20"/>
      </w:pPr>
      <w:r>
        <w:t>Radnik je dužan izbjegavati svaku situaciju u kojoj bi privatni interesi mogli utjecati ili ostaviti dojam da utječu na nepristrano obavljanje poslova.</w:t>
      </w:r>
    </w:p>
    <w:p w14:paraId="7B6655A1">
      <w:pPr>
        <w:pStyle w:val="20"/>
      </w:pPr>
      <w:r>
        <w:t>Radnik ne smije zahtijevati niti primati darove, usluge ili druge koristi kojima bi mogao dovesti u pitanje svoju nepristranost ili ugled Vrtića.</w:t>
      </w:r>
    </w:p>
    <w:p w14:paraId="1FEFF328">
      <w:pPr>
        <w:pStyle w:val="20"/>
      </w:pPr>
      <w:r>
        <w:t>Prigodni darovi manje vrijednosti koji predstavljaju uobičajeni izraz zahvalnosti mogu se prihvatiti ako njihovo prihvaćanje nije protivno zakonu, Etičkom kodeksu ili interesima Vrtića.</w:t>
      </w:r>
    </w:p>
    <w:p w14:paraId="413B2EEE">
      <w:pPr>
        <w:pStyle w:val="22"/>
      </w:pPr>
      <w:r>
        <w:t>Korištenje imovine i sredstava rada</w:t>
      </w:r>
    </w:p>
    <w:p w14:paraId="16842E9D">
      <w:pPr>
        <w:pStyle w:val="20"/>
      </w:pPr>
      <w:r>
        <w:t>Radnik je dužan koristiti imovinu, opremu i druga sredstva rada pažnjom dobrog stručnjaka te ih koristiti isključivo za potrebe obavljanja poslova, osim ako drukčije odobri ravnatelj.</w:t>
      </w:r>
    </w:p>
    <w:p w14:paraId="67FD01D1">
      <w:pPr>
        <w:pStyle w:val="20"/>
      </w:pPr>
      <w:r>
        <w:t>Radnik je obvezan bez odgađanja prijaviti svaki kvar, oštećenje, gubitak ili drugu okolnost koja može utjecati na sigurnost ili redovito obavljanje rada.</w:t>
      </w:r>
    </w:p>
    <w:p w14:paraId="3B44A779">
      <w:pPr>
        <w:pStyle w:val="22"/>
      </w:pPr>
      <w:r>
        <w:t>Digitalno poslovanje</w:t>
      </w:r>
    </w:p>
    <w:p w14:paraId="53D9A4FF">
      <w:pPr>
        <w:pStyle w:val="20"/>
      </w:pPr>
      <w:r>
        <w:t>Službena elektronička pošta, informacijski sustavi i druga digitalna sredstva koriste se prvenstveno za potrebe rada Vrtića.</w:t>
      </w:r>
    </w:p>
    <w:p w14:paraId="5F9BB4E2">
      <w:pPr>
        <w:pStyle w:val="20"/>
      </w:pPr>
      <w:r>
        <w:t>Radnik je dužan čuvati pristupne podatke, lozinke i drugu sigurnosnu dokumentaciju te ih ne smije učiniti dostupnima neovlaštenim osobama.</w:t>
      </w:r>
    </w:p>
    <w:p w14:paraId="737731AB">
      <w:pPr>
        <w:pStyle w:val="20"/>
      </w:pPr>
      <w:r>
        <w:t>Zabranjeno je instaliranje neovlaštenih programa ili korištenje digitalnih usluga koje mogu ugroziti sigurnost informacijskog sustava Vrtića.</w:t>
      </w:r>
    </w:p>
    <w:p w14:paraId="678D5E63">
      <w:pPr>
        <w:pStyle w:val="22"/>
      </w:pPr>
      <w:r>
        <w:t>Korištenje sustava umjetne inteligencije</w:t>
      </w:r>
    </w:p>
    <w:p w14:paraId="356AEA1C">
      <w:pPr>
        <w:pStyle w:val="20"/>
      </w:pPr>
      <w:r>
        <w:t>Sustavi umjetne inteligencije mogu se koristiti kao pomoć pri izradi radnih materijala, planova, analiza i drugih dokumenata koji ne sadrže povjerljive ili osobne podatke.</w:t>
      </w:r>
    </w:p>
    <w:p w14:paraId="61A40E75">
      <w:pPr>
        <w:pStyle w:val="20"/>
      </w:pPr>
      <w:r>
        <w:t>U sustave umjetne inteligencije nije dopušten unositi osobne podatke djece, roditelja, radnika niti druge povjerljive podatke, osim ako je riječ o sustavu koji je odobrio Vrtić i koji ispunjava propisane zahtjeve zaštite podataka.</w:t>
      </w:r>
    </w:p>
    <w:p w14:paraId="6DCB99FC">
      <w:pPr>
        <w:pStyle w:val="20"/>
      </w:pPr>
      <w:r>
        <w:t>Radnik je odgovoran za zakonitost, točnost i stručnu utemeljenost svakog sadržaja izrađenog uz pomoć sustava umjetne inteligencije.</w:t>
      </w:r>
    </w:p>
    <w:p w14:paraId="36DF3F93">
      <w:pPr>
        <w:pStyle w:val="20"/>
      </w:pPr>
      <w:r>
        <w:t>Korištenje umjetne inteligencije ne oslobađa radnika odgovornosti za sadržaj dokumenata, mišljenja, izvješća ili drugih akata koje potpisuje ili koristi u radu.</w:t>
      </w:r>
    </w:p>
    <w:p w14:paraId="2D96BAF4">
      <w:pPr>
        <w:pStyle w:val="20"/>
      </w:pPr>
      <w:r>
        <w:t>Vrtić može donijeti posebne smjernice za korištenje sustava umjetne inteligencije.</w:t>
      </w:r>
    </w:p>
    <w:p w14:paraId="263D1D1D">
      <w:pPr>
        <w:pStyle w:val="22"/>
      </w:pPr>
      <w:r>
        <w:t>Javni nastupi i društvene mreže</w:t>
      </w:r>
    </w:p>
    <w:p w14:paraId="1192A7AC">
      <w:pPr>
        <w:pStyle w:val="20"/>
      </w:pPr>
      <w:r>
        <w:t>Radnik je dužan u javnim nastupima i objavama koje se odnose na Vrtić postupati odgovorno te čuvati ugled ustanove.</w:t>
      </w:r>
    </w:p>
    <w:p w14:paraId="4237258F">
      <w:pPr>
        <w:pStyle w:val="20"/>
      </w:pPr>
      <w:r>
        <w:t>Bez prethodnog odobrenja ravnatelja nije dopušteno davati izjave medijima u ime Vrtića niti objavljivati informacije koje predstavljaju službene stavove Vrtića.</w:t>
      </w:r>
    </w:p>
    <w:p w14:paraId="58A8C201">
      <w:p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Nije dopušteno objavljivati fotografije, videozapise ili druge podatke o djeci, roditeljima ili radu Vrtića protivno zakonu, odlukama Vrtića ili danim privolama.</w:t>
      </w:r>
    </w:p>
    <w:p w14:paraId="5D277F25">
      <w:pPr>
        <w:spacing w:after="0"/>
        <w:jc w:val="both"/>
        <w:rPr>
          <w:rFonts w:ascii="Calibri" w:hAnsi="Calibri" w:eastAsia="Calibri" w:cs="Calibri"/>
          <w:kern w:val="0"/>
          <w:sz w:val="24"/>
          <w:szCs w:val="24"/>
          <w14:ligatures w14:val="none"/>
        </w:rPr>
      </w:pPr>
    </w:p>
    <w:p w14:paraId="4F45A607">
      <w:pPr>
        <w:spacing w:after="0"/>
        <w:jc w:val="both"/>
        <w:rPr>
          <w:rFonts w:ascii="Calibri" w:hAnsi="Calibri" w:eastAsia="Calibri" w:cs="Calibri"/>
          <w:kern w:val="0"/>
          <w:sz w:val="24"/>
          <w:szCs w:val="24"/>
          <w14:ligatures w14:val="none"/>
        </w:rPr>
      </w:pPr>
    </w:p>
    <w:p w14:paraId="3DFF307C">
      <w:pPr>
        <w:pStyle w:val="17"/>
      </w:pPr>
      <w:r>
        <w:t xml:space="preserve"> ORGANIZACIJA RADA I RADNO VRIJEME</w:t>
      </w:r>
    </w:p>
    <w:p w14:paraId="01F3EC01">
      <w:pPr>
        <w:pStyle w:val="22"/>
      </w:pPr>
      <w:r>
        <w:t>Organizacija rada</w:t>
      </w:r>
    </w:p>
    <w:p w14:paraId="05B18582">
      <w:pPr>
        <w:pStyle w:val="20"/>
      </w:pPr>
      <w:r>
        <w:t>Organizacijom rada osigurava se zakonito, učinkovito i kontinuirano obavljanje djelatnosti Vrtića te ostvarivanje prava i interesa djece, roditelja i radnika.</w:t>
      </w:r>
    </w:p>
    <w:p w14:paraId="065B86FA">
      <w:pPr>
        <w:pStyle w:val="20"/>
      </w:pPr>
      <w:r>
        <w:t>Organizaciju rada utvrđuje ravnatelj u skladu sa zakonom, Statutom, ovim Pravilnikom, Pravilnikom o unutarnjem ustrojstvu i načinu rada, Godišnjim planom i programom rada te drugim općim aktima Vrtića.</w:t>
      </w:r>
    </w:p>
    <w:p w14:paraId="0055D884">
      <w:pPr>
        <w:pStyle w:val="20"/>
      </w:pPr>
      <w:r>
        <w:t>Svaki radnik obvezan je sudjelovati u organizaciji rada u okviru poslova radnog mjesta za koje je sklopio ugovor o radu.</w:t>
      </w:r>
    </w:p>
    <w:p w14:paraId="13A9ECFC">
      <w:pPr>
        <w:pStyle w:val="22"/>
      </w:pPr>
      <w:r>
        <w:t>Radno vrijeme</w:t>
      </w:r>
    </w:p>
    <w:p w14:paraId="78F54A19">
      <w:pPr>
        <w:pStyle w:val="20"/>
      </w:pPr>
      <w:r>
        <w:t>Puno radno vrijeme radnika iznosi 40 sati tjedno, ako zakonom nije drukčije propisano.</w:t>
      </w:r>
    </w:p>
    <w:p w14:paraId="75289704">
      <w:pPr>
        <w:pStyle w:val="20"/>
      </w:pPr>
      <w:r>
        <w:t>Radno vrijeme može biti puno ili nepuno, ovisno o ugovoru o radu.</w:t>
      </w:r>
    </w:p>
    <w:p w14:paraId="3136710F">
      <w:pPr>
        <w:pStyle w:val="20"/>
      </w:pPr>
      <w:r>
        <w:t>Raspored radnog vremena određuje se prema potrebama procesa rada, vodeći računa o pravima radnika i kontinuitetu obavljanja djelatnosti.</w:t>
      </w:r>
    </w:p>
    <w:p w14:paraId="51DD31E6">
      <w:pPr>
        <w:pStyle w:val="22"/>
      </w:pPr>
      <w:r>
        <w:t>Raspored radnog vremena</w:t>
      </w:r>
    </w:p>
    <w:p w14:paraId="2DD0230A">
      <w:pPr>
        <w:pStyle w:val="20"/>
      </w:pPr>
      <w:r>
        <w:t>Raspored radnog vremena utvrđuje ravnatelj.</w:t>
      </w:r>
    </w:p>
    <w:p w14:paraId="24DD1259">
      <w:pPr>
        <w:pStyle w:val="20"/>
      </w:pPr>
      <w:r>
        <w:t>Pri utvrđivanju rasporeda radnog vremena osobito se uzimaju u obzir:</w:t>
      </w:r>
    </w:p>
    <w:p w14:paraId="5015A065">
      <w:pPr>
        <w:numPr>
          <w:ilvl w:val="1"/>
          <w:numId w:val="4"/>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radno vrijeme Vrtića, </w:t>
      </w:r>
    </w:p>
    <w:p w14:paraId="68B72824">
      <w:pPr>
        <w:numPr>
          <w:ilvl w:val="1"/>
          <w:numId w:val="4"/>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broj i potrebe djece, </w:t>
      </w:r>
    </w:p>
    <w:p w14:paraId="558BEB08">
      <w:pPr>
        <w:numPr>
          <w:ilvl w:val="1"/>
          <w:numId w:val="4"/>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organizacija odgojno-obrazovnog rada, </w:t>
      </w:r>
    </w:p>
    <w:p w14:paraId="73C478B4">
      <w:pPr>
        <w:numPr>
          <w:ilvl w:val="1"/>
          <w:numId w:val="4"/>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sigurnost djece, </w:t>
      </w:r>
    </w:p>
    <w:p w14:paraId="535799AF">
      <w:pPr>
        <w:numPr>
          <w:ilvl w:val="1"/>
          <w:numId w:val="4"/>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ravnomjerno opterećenje radnika. </w:t>
      </w:r>
    </w:p>
    <w:p w14:paraId="62AFB7FF">
      <w:pPr>
        <w:numPr>
          <w:ilvl w:val="1"/>
          <w:numId w:val="4"/>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raspored rada skupina</w:t>
      </w:r>
    </w:p>
    <w:p w14:paraId="0A32A149">
      <w:pPr>
        <w:pStyle w:val="20"/>
      </w:pPr>
      <w:r>
        <w:t>O rasporedu radnog vremena radnici se obavještavaju prije početka njegove primjene, osim u slučaju izvanrednih okolnosti.</w:t>
      </w:r>
    </w:p>
    <w:p w14:paraId="748D7FD8">
      <w:pPr>
        <w:pStyle w:val="22"/>
      </w:pPr>
      <w:r>
        <w:t>Organizacija rada odgojno-obrazovnih radnika</w:t>
      </w:r>
    </w:p>
    <w:p w14:paraId="736E6FFC">
      <w:pPr>
        <w:pStyle w:val="20"/>
      </w:pPr>
      <w:r>
        <w:t>Rad odgojitelja, stručnih suradnika i drugih odgojno-obrazovnih radnika organizira se u skladu sa zakonom, Državnim pedagoškim standardom predškolskog odgoja i obrazovanja te Godišnjim planom i programom rada Vrtića.</w:t>
      </w:r>
    </w:p>
    <w:p w14:paraId="6ECB13C0">
      <w:pPr>
        <w:pStyle w:val="20"/>
      </w:pPr>
      <w:r>
        <w:t>U okviru tjednog radnog vremena odgojno-obrazovni radnici obavljaju neposredni rad s djecom, pripremu za rad, stručno usavršavanje, suradnju s roditeljima, stručnim službama i drugim ustanovama te druge poslove propisane posebnim propisima i općim aktima Vrtića.</w:t>
      </w:r>
    </w:p>
    <w:p w14:paraId="41577DF1">
      <w:pPr>
        <w:pStyle w:val="22"/>
      </w:pPr>
      <w:r>
        <w:t>Rad administrativnog i tehničkog osoblja</w:t>
      </w:r>
    </w:p>
    <w:p w14:paraId="54876F13">
      <w:pPr>
        <w:pStyle w:val="20"/>
      </w:pPr>
      <w:r>
        <w:t>Rad administrativnog, pomoćno-tehničkog i drugog osoblja organizira se prema potrebama procesa rada i prirodi poslova pojedinog radnog mjesta.</w:t>
      </w:r>
    </w:p>
    <w:p w14:paraId="6ABD14A6">
      <w:pPr>
        <w:pStyle w:val="20"/>
      </w:pPr>
      <w:r>
        <w:t>Ravnatelj može, kada to zahtijevaju potrebe rada, privremeno izmijeniti raspored radnog vremena ili organizaciju rada, uz poštovanje prava radnika propisanih zakonom.</w:t>
      </w:r>
    </w:p>
    <w:p w14:paraId="68F9A54B">
      <w:pPr>
        <w:pStyle w:val="22"/>
      </w:pPr>
      <w:r>
        <w:t>Smjenski rad i preraspodjela radnog vremena</w:t>
      </w:r>
    </w:p>
    <w:p w14:paraId="4C4720A9">
      <w:pPr>
        <w:pStyle w:val="20"/>
      </w:pPr>
      <w:r>
        <w:t>Kada to zahtijevaju potrebe procesa rada, rad može biti organiziran u smjenama ili preraspodjelom radnog vremena, u skladu sa Zakonom o radu.</w:t>
      </w:r>
    </w:p>
    <w:p w14:paraId="5FBCDB3E">
      <w:pPr>
        <w:pStyle w:val="20"/>
      </w:pPr>
      <w:r>
        <w:t>O organizaciji smjenskog rada ili preraspodjeli radnog vremena odlučuje ravnatelj pisanom odlukom.</w:t>
      </w:r>
    </w:p>
    <w:p w14:paraId="3DCA568A">
      <w:pPr>
        <w:pStyle w:val="22"/>
      </w:pPr>
      <w:r>
        <w:t>Prekovremeni rad</w:t>
      </w:r>
    </w:p>
    <w:p w14:paraId="1666B3B1">
      <w:pPr>
        <w:pStyle w:val="20"/>
      </w:pPr>
      <w:r>
        <w:t>Prekovremeni rad može se odrediti samo u slučajevima i pod uvjetima propisanim Zakonom o radu.</w:t>
      </w:r>
    </w:p>
    <w:p w14:paraId="7D0852AE">
      <w:pPr>
        <w:pStyle w:val="20"/>
      </w:pPr>
      <w:r>
        <w:t>Prekovremeni rad određuje ravnatelj, u pravilu u pisanom obliku, osim ako zbog hitnosti nije moguće drukčije postupiti.</w:t>
      </w:r>
    </w:p>
    <w:p w14:paraId="44583010">
      <w:pPr>
        <w:pStyle w:val="22"/>
      </w:pPr>
      <w:r>
        <w:t>Evidencija radnog vremena</w:t>
      </w:r>
    </w:p>
    <w:p w14:paraId="0638B7D3">
      <w:pPr>
        <w:pStyle w:val="20"/>
      </w:pPr>
      <w:r>
        <w:t>Vrtić vodi evidenciju radnog vremena u skladu s posebnim propisima.</w:t>
      </w:r>
    </w:p>
    <w:p w14:paraId="48F0BD3E">
      <w:pPr>
        <w:pStyle w:val="20"/>
      </w:pPr>
      <w:r>
        <w:t>Radnik je dužan evidentirati dolazak na rad, odlazak s rada i druge podatke potrebne za vođenje evidencije na način koji odredi ravnatelj.</w:t>
      </w:r>
    </w:p>
    <w:p w14:paraId="5698D813">
      <w:pPr>
        <w:pStyle w:val="20"/>
      </w:pPr>
      <w:r>
        <w:t>Namjerno davanje netočnih podataka u evidenciji radnog vremena smatra se povredom radne obveze.</w:t>
      </w:r>
    </w:p>
    <w:p w14:paraId="40A647F7">
      <w:pPr>
        <w:pStyle w:val="20"/>
      </w:pPr>
      <w:r>
        <w:t>Evidencija radnog vremena može se voditi u pisanom ili elektroničkom obliku.</w:t>
      </w:r>
    </w:p>
    <w:p w14:paraId="5EE1B369">
      <w:pPr>
        <w:pStyle w:val="22"/>
      </w:pPr>
      <w:r>
        <w:t>Odsutnost tijekom radnog vremena</w:t>
      </w:r>
    </w:p>
    <w:p w14:paraId="13ACB065">
      <w:pPr>
        <w:pStyle w:val="20"/>
      </w:pPr>
      <w:r>
        <w:t>Radnik može privremeno napustiti radno mjesto tijekom radnog vremena samo uz prethodno odobrenje ravnatelja ili osobe koju on ovlasti, osim u slučaju hitnih i neodgodivih okolnosti.</w:t>
      </w:r>
    </w:p>
    <w:p w14:paraId="62F7BFB9">
      <w:pPr>
        <w:pStyle w:val="20"/>
      </w:pPr>
      <w:r>
        <w:t>Radnik je dužan bez odgađanja obavijestiti ravnatelja o svakoj okolnosti koja ga sprječava u dolasku na posao ili urednom izvršavanju radnih obveza.</w:t>
      </w:r>
    </w:p>
    <w:p w14:paraId="1D1A510A">
      <w:pPr>
        <w:pStyle w:val="22"/>
      </w:pPr>
      <w:r>
        <w:t>Privremena izmjena poslova</w:t>
      </w:r>
    </w:p>
    <w:p w14:paraId="15A3C101">
      <w:pPr>
        <w:pStyle w:val="20"/>
      </w:pPr>
      <w:r>
        <w:t>Zbog potrebe osiguranja kontinuiteta rada, zaštite sigurnosti djece ili drugih opravdanih razloga, ravnatelj može radniku privremeno povjeriti obavljanje poslova koji odgovaraju njegovoj stručnoj spremi, znanjima i sposobnostima, u skladu sa zakonom.</w:t>
      </w:r>
    </w:p>
    <w:p w14:paraId="46300B12">
      <w:pPr>
        <w:pStyle w:val="20"/>
      </w:pPr>
      <w:r>
        <w:t>Privremeno povjeravanje poslova iz stavka 1. ovoga članka ne može predstavljati trajnu promjenu ugovorenih poslova bez provedbe postupka propisanog Zakonom o radu.</w:t>
      </w:r>
    </w:p>
    <w:p w14:paraId="3C2584DC">
      <w:pPr>
        <w:rPr>
          <w:rFonts w:ascii="Calibri" w:hAnsi="Calibri" w:eastAsia="Calibri" w:cs="Calibri"/>
          <w:b/>
          <w:bCs/>
          <w:kern w:val="0"/>
          <w14:ligatures w14:val="none"/>
        </w:rPr>
      </w:pPr>
    </w:p>
    <w:p w14:paraId="25D07ADB">
      <w:pPr>
        <w:pStyle w:val="17"/>
      </w:pPr>
      <w:r>
        <w:t xml:space="preserve"> ODMORI I DOPUSTI</w:t>
      </w:r>
    </w:p>
    <w:p w14:paraId="4A05EEC9">
      <w:pPr>
        <w:pStyle w:val="22"/>
      </w:pPr>
      <w:r>
        <w:t>Pravo na odmore i dopuste</w:t>
      </w:r>
    </w:p>
    <w:p w14:paraId="60A67CF2">
      <w:pPr>
        <w:pStyle w:val="20"/>
      </w:pPr>
      <w:r>
        <w:t>Radnik ima pravo na odmore i dopuste pod uvjetima propisanim Zakonom o radu, drugim propisima i ovim Pravilnikom.</w:t>
      </w:r>
    </w:p>
    <w:p w14:paraId="6E142747">
      <w:pPr>
        <w:pStyle w:val="20"/>
      </w:pPr>
      <w:r>
        <w:t>Pri ostvarivanju prava iz stavka 1. ovoga članka vodi se računa o potrebama procesa rada te o zaštiti prava radnika.</w:t>
      </w:r>
    </w:p>
    <w:p w14:paraId="5B682C17">
      <w:pPr>
        <w:pStyle w:val="22"/>
      </w:pPr>
      <w:r>
        <w:t>Stanka, dnevni i tjedni odmor</w:t>
      </w:r>
    </w:p>
    <w:p w14:paraId="46705D8D">
      <w:pPr>
        <w:pStyle w:val="20"/>
      </w:pPr>
      <w:r>
        <w:t>Radnik ostvaruje pravo na stanku tijekom radnog dana te na dnevni i tjedni odmor u skladu sa Zakonom o radu.</w:t>
      </w:r>
    </w:p>
    <w:p w14:paraId="5FC1B2FA">
      <w:pPr>
        <w:pStyle w:val="20"/>
      </w:pPr>
      <w:r>
        <w:t>Vrijeme korištenja stanke određuje se tako da se ne ugrozi sigurnost djece niti redovito obavljanje djelatnosti Vrtića.</w:t>
      </w:r>
    </w:p>
    <w:p w14:paraId="73F0FE5D">
      <w:pPr>
        <w:pStyle w:val="22"/>
      </w:pPr>
      <w:r>
        <w:t>Godišnji odmor</w:t>
      </w:r>
    </w:p>
    <w:p w14:paraId="7F5B21AE">
      <w:pPr>
        <w:pStyle w:val="20"/>
      </w:pPr>
      <w:r>
        <w:t>Radnik ostvaruje pravo na godišnji odmor u skladu sa Zakonom o radu.</w:t>
      </w:r>
    </w:p>
    <w:p w14:paraId="6627FFA1">
      <w:pPr>
        <w:pStyle w:val="20"/>
      </w:pPr>
      <w:r>
        <w:t>Broj dana godišnjeg odmora utvrđuje se rješenjem ravnatelja prema kriterijima propisanim zakonom i ovim Pravilnikom.</w:t>
      </w:r>
    </w:p>
    <w:p w14:paraId="2786A13A">
      <w:pPr>
        <w:pStyle w:val="20"/>
      </w:pPr>
      <w:r>
        <w:t>Pri određivanju rasporeda korištenja godišnjeg odmora vodi se računa o potrebama procesa rada, organizaciji odgojno-obrazovnog rada i, kada je to moguće, opravdanim željama radnika.</w:t>
      </w:r>
    </w:p>
    <w:p w14:paraId="72E3EA76">
      <w:pPr>
        <w:pStyle w:val="20"/>
      </w:pPr>
      <w:r>
        <w:t>Neovisno o broju ostvarenih dana prema kriterijima iz Priloga 1. – Kriteriji za utvrđivanje trajanja godišnjeg odmora, ukupno trajanje godišnjeg odmora radnika ne može biti dulje od 30 radnih dana u jednoj kalendarskoj godini.</w:t>
      </w:r>
    </w:p>
    <w:p w14:paraId="2CA69A25">
      <w:pPr>
        <w:pStyle w:val="22"/>
      </w:pPr>
      <w:r>
        <w:t>Kriteriji za utvrđivanje trajanja godišnjeg odmora</w:t>
      </w:r>
    </w:p>
    <w:p w14:paraId="0E7438DD">
      <w:pPr>
        <w:pStyle w:val="20"/>
      </w:pPr>
      <w:r>
        <w:t xml:space="preserve">Trajanje godišnjeg odmora iznad zakonom propisanog najmanjeg trajanja utvrđuje se prema kriterijima propisanim </w:t>
      </w:r>
      <w:r>
        <w:rPr>
          <w:b/>
          <w:bCs/>
        </w:rPr>
        <w:t>Prilogom 1. – Kriteriji za utvrđivanje trajanja godišnjeg odmora</w:t>
      </w:r>
      <w:r>
        <w:t>, koji je sastavni dio ovoga Pravilnika.</w:t>
      </w:r>
    </w:p>
    <w:p w14:paraId="1BB62B56">
      <w:pPr>
        <w:pStyle w:val="20"/>
      </w:pPr>
      <w:r>
        <w:t xml:space="preserve">Pri utvrđivanju trajanja godišnjeg odmora primjenjuju se kriteriji koji se odnose na radni staž, složenost poslova radnog mjesta, posebne uvjete rada te socijalne i druge okolnosti utvrđene </w:t>
      </w:r>
      <w:r>
        <w:rPr>
          <w:b/>
          <w:bCs/>
        </w:rPr>
        <w:t>Prilogom 1. – Kriteriji za utvrđivanje trajanja godišnjeg odmora</w:t>
      </w:r>
      <w:r>
        <w:t>, koji je sastavni dio ovoga Pravilnika.</w:t>
      </w:r>
    </w:p>
    <w:p w14:paraId="36A94CCC">
      <w:pPr>
        <w:pStyle w:val="20"/>
      </w:pPr>
      <w:r>
        <w:t xml:space="preserve">Ukupno trajanje godišnjeg odmora za svakog radnika utvrđuje se rješenjem ravnatelja u skladu sa Zakonom o radu, ovim Pravilnikom i </w:t>
      </w:r>
      <w:r>
        <w:rPr>
          <w:b/>
          <w:bCs/>
        </w:rPr>
        <w:t>Prilogom 1. – Kriteriji za utvrđivanje trajanja godišnjeg odmora</w:t>
      </w:r>
      <w:r>
        <w:t>, koji je sastavni dio ovoga Pravilnika.</w:t>
      </w:r>
    </w:p>
    <w:p w14:paraId="0657F8AC">
      <w:pPr>
        <w:pStyle w:val="22"/>
      </w:pPr>
      <w:r>
        <w:t xml:space="preserve"> Raspored korištenja godišnjeg odmora</w:t>
      </w:r>
    </w:p>
    <w:p w14:paraId="77EB86A5">
      <w:pPr>
        <w:pStyle w:val="20"/>
      </w:pPr>
      <w:r>
        <w:t>Raspored korištenja godišnjeg odmora utvrđuje ravnatelj, uz prethodno razmatranje prijedloga radnika i potreba organizacije rada.</w:t>
      </w:r>
    </w:p>
    <w:p w14:paraId="21994F92">
      <w:pPr>
        <w:pStyle w:val="20"/>
      </w:pPr>
      <w:r>
        <w:t>Raspored godišnjih odmora donosi se u rokovima propisanim Zakonom o radu.</w:t>
      </w:r>
    </w:p>
    <w:p w14:paraId="118E4F9C">
      <w:pPr>
        <w:pStyle w:val="20"/>
      </w:pPr>
      <w:r>
        <w:t>Izmjena rasporeda moguća je zbog opravdanih razloga radnika ili potreba procesa rada.</w:t>
      </w:r>
    </w:p>
    <w:p w14:paraId="1B90D6A9">
      <w:pPr>
        <w:pStyle w:val="20"/>
      </w:pPr>
      <w:r>
        <w:t xml:space="preserve">Zahtjev za korištenje godišnjeg odmora podnosi se na obrascu iz </w:t>
      </w:r>
      <w:r>
        <w:rPr>
          <w:b/>
          <w:bCs/>
        </w:rPr>
        <w:t>Priloga 3. – Zahtjev za korištenje godišnjeg odmora</w:t>
      </w:r>
      <w:r>
        <w:t>, koji je sastavni dio ovoga Pravilnika, osim ako ravnatelj odredi drugi način podnošenja zahtjeva.</w:t>
      </w:r>
    </w:p>
    <w:p w14:paraId="5BD19713">
      <w:pPr>
        <w:pStyle w:val="22"/>
      </w:pPr>
      <w:r>
        <w:t>Plaćeni dopust</w:t>
      </w:r>
    </w:p>
    <w:p w14:paraId="129DA951">
      <w:pPr>
        <w:pStyle w:val="20"/>
      </w:pPr>
      <w:r>
        <w:t>Radnik ima pravo na plaćeni dopust u slučajevima i trajanju propisanim Zakonom o radu.</w:t>
      </w:r>
    </w:p>
    <w:p w14:paraId="4575541A">
      <w:pPr>
        <w:pStyle w:val="20"/>
      </w:pPr>
      <w:r>
        <w:t xml:space="preserve">Zahtjev za korištenje plaćenog dopusta podnosi se na obrascu iz </w:t>
      </w:r>
      <w:r>
        <w:rPr>
          <w:b/>
          <w:bCs/>
        </w:rPr>
        <w:t>Priloga 4. – Zahtjev za korištenje plaćenog dopusta</w:t>
      </w:r>
      <w:r>
        <w:t>, koji je sastavni dio ovoga Pravilnika, osim ako okolnosti to onemogućuju.</w:t>
      </w:r>
    </w:p>
    <w:p w14:paraId="412854D1">
      <w:pPr>
        <w:pStyle w:val="20"/>
      </w:pPr>
      <w:r>
        <w:t>Radnik je dužan, kada je to moguće, dostaviti odgovarajuću dokumentaciju kojom opravdava korištenje plaćenog dopusta.</w:t>
      </w:r>
    </w:p>
    <w:p w14:paraId="24F2109B">
      <w:pPr>
        <w:pStyle w:val="22"/>
      </w:pPr>
      <w:r>
        <w:t>Neplaćeni dopust</w:t>
      </w:r>
    </w:p>
    <w:p w14:paraId="7573E378">
      <w:pPr>
        <w:pStyle w:val="20"/>
      </w:pPr>
      <w:r>
        <w:t>Radniku se može odobriti neplaćeni dopust na njegov pisani zahtjev, ako to ne ometa redovito obavljanje djelatnosti Vrtića.</w:t>
      </w:r>
    </w:p>
    <w:p w14:paraId="79EA78A3">
      <w:pPr>
        <w:pStyle w:val="20"/>
      </w:pPr>
      <w:r>
        <w:t>O zahtjevu odlučuje ravnatelj, vodeći računa o interesima radnika i potrebama procesa rada.</w:t>
      </w:r>
    </w:p>
    <w:p w14:paraId="332303C5">
      <w:pPr>
        <w:pStyle w:val="20"/>
      </w:pPr>
      <w:r>
        <w:t xml:space="preserve">Zahtjev za korištenje neplaćenog dopusta podnosi se na obrascu iz </w:t>
      </w:r>
      <w:r>
        <w:rPr>
          <w:b/>
          <w:bCs/>
        </w:rPr>
        <w:t>Priloga 5. – Zahtjev za korištenje neplaćenog dopusta</w:t>
      </w:r>
      <w:r>
        <w:t>, koji je sastavni dio ovoga Pravilnika.</w:t>
      </w:r>
    </w:p>
    <w:p w14:paraId="7F1E9328">
      <w:pPr>
        <w:pStyle w:val="22"/>
      </w:pPr>
      <w:r>
        <w:t>Odsutnost radi stručnog usavršavanja i drugih opravdanih razloga</w:t>
      </w:r>
    </w:p>
    <w:p w14:paraId="5300741E">
      <w:pPr>
        <w:pStyle w:val="20"/>
      </w:pPr>
      <w:r>
        <w:t>Radniku se može odobriti odsutnost s rada radi stručnog usavršavanja, sudjelovanja na stručnim skupovima, edukacijama, seminarima ili drugim oblicima stručnog razvoja.</w:t>
      </w:r>
    </w:p>
    <w:p w14:paraId="53739636">
      <w:pPr>
        <w:pStyle w:val="20"/>
      </w:pPr>
      <w:r>
        <w:t>O načinu ostvarivanja prava iz stavka 1. ovoga članka odlučuje ravnatelj, uzimajući u obzir potrebe procesa rada i plan stručnog usavršavanja Vrtića.</w:t>
      </w:r>
    </w:p>
    <w:p w14:paraId="5620A918">
      <w:pPr>
        <w:pStyle w:val="22"/>
      </w:pPr>
      <w:r>
        <w:t>Obveza pravodobnog obavještavanja</w:t>
      </w:r>
    </w:p>
    <w:p w14:paraId="3E03D83C">
      <w:pPr>
        <w:pStyle w:val="20"/>
      </w:pPr>
      <w:r>
        <w:t>Radnik je dužan bez odgađanja obavijestiti ravnatelja o razlozima odsutnosti s rada te dostaviti odgovarajuću dokumentaciju kada je to propisano zakonom ili ovim Pravilnikom.</w:t>
      </w:r>
    </w:p>
    <w:p w14:paraId="348B3975">
      <w:pPr>
        <w:pStyle w:val="20"/>
      </w:pPr>
      <w:r>
        <w:t>Neopravdano izostajanje s rada smatra se povredom radne obveze.</w:t>
      </w:r>
    </w:p>
    <w:p w14:paraId="5C28182A">
      <w:pPr>
        <w:rPr>
          <w:rFonts w:ascii="Calibri" w:hAnsi="Calibri" w:eastAsia="Calibri" w:cs="Calibri"/>
          <w:kern w:val="0"/>
          <w14:ligatures w14:val="none"/>
        </w:rPr>
      </w:pPr>
    </w:p>
    <w:p w14:paraId="475079B2">
      <w:pPr>
        <w:rPr>
          <w:rFonts w:ascii="Calibri" w:hAnsi="Calibri" w:eastAsia="Calibri" w:cs="Calibri"/>
          <w:kern w:val="0"/>
          <w14:ligatures w14:val="none"/>
        </w:rPr>
      </w:pPr>
    </w:p>
    <w:p w14:paraId="05B2CC3A">
      <w:pPr>
        <w:rPr>
          <w:rFonts w:ascii="Calibri" w:hAnsi="Calibri" w:eastAsia="Calibri" w:cs="Calibri"/>
          <w:kern w:val="0"/>
          <w14:ligatures w14:val="none"/>
        </w:rPr>
      </w:pPr>
    </w:p>
    <w:p w14:paraId="2A3965C4">
      <w:pPr>
        <w:pStyle w:val="17"/>
      </w:pPr>
      <w:r>
        <w:t xml:space="preserve"> PLAĆA I DRUGA MATERIJALNA PRAVA</w:t>
      </w:r>
    </w:p>
    <w:p w14:paraId="7701E28C">
      <w:pPr>
        <w:pStyle w:val="22"/>
      </w:pPr>
      <w:r>
        <w:t>Pravo na plaću i druga materijalna prava</w:t>
      </w:r>
    </w:p>
    <w:p w14:paraId="1E5D069A">
      <w:pPr>
        <w:pStyle w:val="20"/>
      </w:pPr>
      <w:r>
        <w:t>Radnik ima pravo na plaću za obavljeni rad te na druga materijalna prava u skladu sa zakonom, drugim propisima, ovim Pravilnikom i drugim općim aktima Vrtića.</w:t>
      </w:r>
    </w:p>
    <w:p w14:paraId="71D31197">
      <w:pPr>
        <w:pStyle w:val="20"/>
      </w:pPr>
      <w:r>
        <w:t>Plaća i druga materijalna prava ostvaruju se pod uvjetima i na način propisan važećim propisima.</w:t>
      </w:r>
    </w:p>
    <w:p w14:paraId="22A781B6">
      <w:pPr>
        <w:pStyle w:val="22"/>
      </w:pPr>
      <w:r>
        <w:t>Utvrđivanje plaće</w:t>
      </w:r>
    </w:p>
    <w:p w14:paraId="0F27F2B2">
      <w:pPr>
        <w:pStyle w:val="20"/>
      </w:pPr>
      <w:r>
        <w:t>Plaća radnika utvrđuje se u skladu sa zakonom kojim se uređuju plaće zaposlenih u javnim službama, drugim posebnim propisima te općim aktima Vrtića.</w:t>
      </w:r>
    </w:p>
    <w:p w14:paraId="0A964666">
      <w:pPr>
        <w:pStyle w:val="20"/>
      </w:pPr>
      <w:r>
        <w:t>Visina plaće ovisi o radnom mjestu, koeficijentu složenosti poslova i drugim elementima propisanim zakonom.</w:t>
      </w:r>
    </w:p>
    <w:p w14:paraId="15ACA89C">
      <w:pPr>
        <w:pStyle w:val="22"/>
      </w:pPr>
      <w:r>
        <w:t>Koeficijenti složenosti poslova</w:t>
      </w:r>
    </w:p>
    <w:p w14:paraId="1BCD242B">
      <w:pPr>
        <w:pStyle w:val="20"/>
      </w:pPr>
      <w:r>
        <w:t>Koeficijenti za obračun plaće pojedinih radnih mjesta utvrđuju se posebnom odlukom Upravnog vijeća, u skladu sa zakonom i drugim propisima.</w:t>
      </w:r>
    </w:p>
    <w:p w14:paraId="27F141A4">
      <w:pPr>
        <w:pStyle w:val="20"/>
      </w:pPr>
      <w:r>
        <w:t>Ovim se Pravilnikom ne uređuju koeficijenti niti način njihova obračuna.</w:t>
      </w:r>
    </w:p>
    <w:p w14:paraId="7B63FE09">
      <w:pPr>
        <w:pStyle w:val="22"/>
      </w:pPr>
      <w:r>
        <w:t>Dodaci na plaću i naknade plaće</w:t>
      </w:r>
    </w:p>
    <w:p w14:paraId="46159847">
      <w:pPr>
        <w:pStyle w:val="20"/>
      </w:pPr>
      <w:r>
        <w:t>Radnik ostvaruje pravo na dodatke na plaću, naknadu plaće i druga novčana primanja u slučajevima i pod uvjetima propisanim zakonom i drugim propisima.</w:t>
      </w:r>
    </w:p>
    <w:p w14:paraId="457FC31E">
      <w:pPr>
        <w:pStyle w:val="20"/>
      </w:pPr>
      <w:r>
        <w:t>Dodaci i naknade obračunavaju se u skladu s važećim propisima.</w:t>
      </w:r>
    </w:p>
    <w:p w14:paraId="67933763">
      <w:pPr>
        <w:pStyle w:val="22"/>
      </w:pPr>
      <w:r>
        <w:t>Naknada troškova</w:t>
      </w:r>
    </w:p>
    <w:p w14:paraId="15C0BC44">
      <w:pPr>
        <w:pStyle w:val="20"/>
      </w:pPr>
      <w:r>
        <w:t>Radnik ima pravo na naknadu troškova nastalih u vezi s obavljanjem poslova radnog mjesta kada je to propisano zakonom, podzakonskim propisima ili odlukom nadležnog tijela Vrtića.</w:t>
      </w:r>
    </w:p>
    <w:p w14:paraId="1E033461">
      <w:pPr>
        <w:pStyle w:val="20"/>
      </w:pPr>
      <w:r>
        <w:t>Radniku koji je, po nalogu ravnatelja, upućen na službeni put pripada naknada troškova službenog puta u skladu s važećim propisima.</w:t>
      </w:r>
    </w:p>
    <w:p w14:paraId="7BFD1F23">
      <w:pPr>
        <w:pStyle w:val="20"/>
      </w:pPr>
      <w:r>
        <w:t>Ako radnik, uz prethodno odobrenje ravnatelja, koristi privatno vozilo u službene svrhe, ima pravo na naknadu troškova u skladu s propisima kojima se uređuje navedeno pravo.</w:t>
      </w:r>
    </w:p>
    <w:p w14:paraId="38A080DE">
      <w:pPr>
        <w:pStyle w:val="20"/>
      </w:pPr>
      <w:r>
        <w:t>Za ostvarivanje prava iz ovoga članka radnik je dužan dostaviti odgovarajuću dokumentaciju kojom dokazuje nastanak troškova.</w:t>
      </w:r>
    </w:p>
    <w:p w14:paraId="494322C9">
      <w:pPr>
        <w:pStyle w:val="22"/>
      </w:pPr>
      <w:r>
        <w:t>Druga materijalna prava</w:t>
      </w:r>
    </w:p>
    <w:p w14:paraId="2F9A643F">
      <w:pPr>
        <w:pStyle w:val="20"/>
      </w:pPr>
      <w:r>
        <w:t>Radnik može ostvariti i druga materijalna prava ako su propisana zakonom, kolektivnim ugovorom koji se primjenjuje na Vrtić, drugim propisom ili općim aktom Vrtića.</w:t>
      </w:r>
    </w:p>
    <w:p w14:paraId="5104810E">
      <w:pPr>
        <w:pStyle w:val="20"/>
      </w:pPr>
      <w:r>
        <w:t>O ostvarivanju pojedinih materijalnih prava odlučuje se u skladu s propisima kojima su ta prava uređena.</w:t>
      </w:r>
    </w:p>
    <w:p w14:paraId="557EB236">
      <w:pPr>
        <w:pStyle w:val="22"/>
      </w:pPr>
      <w:r>
        <w:t>Isplata plaće i zaštita podataka</w:t>
      </w:r>
    </w:p>
    <w:p w14:paraId="788794EF">
      <w:pPr>
        <w:pStyle w:val="20"/>
      </w:pPr>
      <w:r>
        <w:t>Plaća i druga novčana primanja isplaćuju se na način i u rokovima propisanim zakonom.</w:t>
      </w:r>
    </w:p>
    <w:p w14:paraId="0469946E">
      <w:pPr>
        <w:pStyle w:val="20"/>
      </w:pPr>
      <w:r>
        <w:t>Podaci o plaći i drugim novčanim primanjima radnika smatraju se osobnim podacima te se obrađuju i štite u skladu s propisima o zaštiti osobnih podataka.</w:t>
      </w:r>
    </w:p>
    <w:p w14:paraId="61700053">
      <w:pPr>
        <w:pStyle w:val="20"/>
      </w:pPr>
      <w:r>
        <w:t>Radnik ima pravo zatražiti uvid i pojašnjenje obračuna plaće i drugih novčanih primanja.</w:t>
      </w:r>
    </w:p>
    <w:p w14:paraId="65538501">
      <w:pPr>
        <w:rPr>
          <w:rFonts w:ascii="Calibri" w:hAnsi="Calibri" w:eastAsia="Calibri" w:cs="Calibri"/>
          <w:kern w:val="0"/>
          <w14:ligatures w14:val="none"/>
        </w:rPr>
      </w:pPr>
    </w:p>
    <w:p w14:paraId="50225FAA">
      <w:pPr>
        <w:pStyle w:val="17"/>
      </w:pPr>
      <w:r>
        <w:t xml:space="preserve"> STRUČNO USAVRŠAVANJE I PROFESIONALNI RAZVOJ</w:t>
      </w:r>
    </w:p>
    <w:p w14:paraId="51BCD09A">
      <w:pPr>
        <w:pStyle w:val="22"/>
      </w:pPr>
      <w:r>
        <w:t>Pravo i obveza stručnog usavršavanja</w:t>
      </w:r>
    </w:p>
    <w:p w14:paraId="539B8799">
      <w:pPr>
        <w:pStyle w:val="20"/>
      </w:pPr>
      <w:r>
        <w:t>Radnici imaju pravo i obvezu trajno stručno usavršavati svoja znanja, vještine i kompetencije radi unapređenja kvalitete rada i profesionalnog razvoja.</w:t>
      </w:r>
    </w:p>
    <w:p w14:paraId="10ADE8C1">
      <w:pPr>
        <w:pStyle w:val="20"/>
      </w:pPr>
      <w:r>
        <w:t>Stručno usavršavanje provodi se u skladu sa zakonom, podzakonskim propisima, Godišnjim planom i programom rada Vrtića te drugim aktima kojima se uređuje stručno usavršavanje radnika.</w:t>
      </w:r>
    </w:p>
    <w:p w14:paraId="7AC6E45D">
      <w:pPr>
        <w:pStyle w:val="20"/>
      </w:pPr>
      <w:r>
        <w:t>Vrtić potiče cjeloživotno učenje i razvoj profesionalnih kompetencija svih radnika.</w:t>
      </w:r>
    </w:p>
    <w:p w14:paraId="4BD01435">
      <w:pPr>
        <w:pStyle w:val="22"/>
      </w:pPr>
      <w:r>
        <w:t>Oblici stručnog usavršavanja</w:t>
      </w:r>
    </w:p>
    <w:p w14:paraId="08A420B4">
      <w:pPr>
        <w:pStyle w:val="20"/>
      </w:pPr>
      <w:r>
        <w:t>Stručno usavršavanje može se ostvarivati sudjelovanjem na:</w:t>
      </w:r>
    </w:p>
    <w:p w14:paraId="1B875F00">
      <w:pPr>
        <w:numPr>
          <w:ilvl w:val="1"/>
          <w:numId w:val="5"/>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stručnim skupovima, </w:t>
      </w:r>
    </w:p>
    <w:p w14:paraId="33545306">
      <w:pPr>
        <w:numPr>
          <w:ilvl w:val="1"/>
          <w:numId w:val="5"/>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seminarima, </w:t>
      </w:r>
    </w:p>
    <w:p w14:paraId="4501E6B8">
      <w:pPr>
        <w:numPr>
          <w:ilvl w:val="1"/>
          <w:numId w:val="5"/>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radionicama, </w:t>
      </w:r>
    </w:p>
    <w:p w14:paraId="74FCFD01">
      <w:pPr>
        <w:numPr>
          <w:ilvl w:val="1"/>
          <w:numId w:val="5"/>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konferencijama, </w:t>
      </w:r>
    </w:p>
    <w:p w14:paraId="2882F93D">
      <w:pPr>
        <w:numPr>
          <w:ilvl w:val="1"/>
          <w:numId w:val="5"/>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edukacijama, </w:t>
      </w:r>
    </w:p>
    <w:p w14:paraId="43A065F6">
      <w:pPr>
        <w:numPr>
          <w:ilvl w:val="1"/>
          <w:numId w:val="5"/>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stručnim predavanjima, </w:t>
      </w:r>
    </w:p>
    <w:p w14:paraId="7B746F2C">
      <w:pPr>
        <w:numPr>
          <w:ilvl w:val="1"/>
          <w:numId w:val="5"/>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programima e-učenja, </w:t>
      </w:r>
    </w:p>
    <w:p w14:paraId="3CD9DEE6">
      <w:pPr>
        <w:numPr>
          <w:ilvl w:val="1"/>
          <w:numId w:val="5"/>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stručnim aktivima, </w:t>
      </w:r>
    </w:p>
    <w:p w14:paraId="0D48F766">
      <w:pPr>
        <w:numPr>
          <w:ilvl w:val="1"/>
          <w:numId w:val="5"/>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mentorstvu, </w:t>
      </w:r>
    </w:p>
    <w:p w14:paraId="4347AF5D">
      <w:pPr>
        <w:numPr>
          <w:ilvl w:val="1"/>
          <w:numId w:val="5"/>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drugim oblicima stručnog usavršavanja. </w:t>
      </w:r>
    </w:p>
    <w:p w14:paraId="301F5C2D">
      <w:pPr>
        <w:pStyle w:val="20"/>
      </w:pPr>
      <w:r>
        <w:t>Radnik je dužan aktivno sudjelovati u stručnom usavršavanju na koje je upućen ili koje proizlazi iz njegovih radnih obveza.</w:t>
      </w:r>
    </w:p>
    <w:p w14:paraId="6B8FEB27">
      <w:pPr>
        <w:pStyle w:val="22"/>
      </w:pPr>
      <w:r>
        <w:t>Planiranje i odobravanje stručnog usavršavanja</w:t>
      </w:r>
    </w:p>
    <w:p w14:paraId="0B3D2983">
      <w:pPr>
        <w:pStyle w:val="20"/>
      </w:pPr>
      <w:r>
        <w:t>Stručno usavršavanje planira se na temelju potreba Vrtića, zakonskih obveza i profesionalnog razvoja radnika.</w:t>
      </w:r>
    </w:p>
    <w:p w14:paraId="446E4142">
      <w:pPr>
        <w:pStyle w:val="20"/>
      </w:pPr>
      <w:r>
        <w:t>Sudjelovanje na stručnim usavršavanjima odobrava ravnatelj, vodeći računa o potrebama procesa rada i raspoloživim financijskim sredstvima.</w:t>
      </w:r>
    </w:p>
    <w:p w14:paraId="54CA636E">
      <w:pPr>
        <w:pStyle w:val="20"/>
      </w:pPr>
      <w:r>
        <w:t>Pri odobravanju stručnog usavršavanja osigurava se jednaka mogućnost profesionalnog razvoja svim radnicima, uz uvažavanje potreba pojedinih radnih mjesta.</w:t>
      </w:r>
    </w:p>
    <w:p w14:paraId="2E52B966">
      <w:pPr>
        <w:pStyle w:val="22"/>
      </w:pPr>
      <w:r>
        <w:t>Obveze radnika tijekom stručnog usavršavanja</w:t>
      </w:r>
    </w:p>
    <w:p w14:paraId="369F5100">
      <w:pPr>
        <w:pStyle w:val="20"/>
      </w:pPr>
      <w:r>
        <w:t>Radnik je dužan savjesno sudjelovati u odobrenom programu stručnog usavršavanja.</w:t>
      </w:r>
    </w:p>
    <w:p w14:paraId="18F349C4">
      <w:pPr>
        <w:pStyle w:val="20"/>
      </w:pPr>
      <w:r>
        <w:t>Na zahtjev ravnatelja radnik je dužan dostaviti potvrdu ili drugu odgovarajuću ispravu o sudjelovanju.</w:t>
      </w:r>
    </w:p>
    <w:p w14:paraId="486192BC">
      <w:pPr>
        <w:pStyle w:val="20"/>
      </w:pPr>
      <w:r>
        <w:t>Kada priroda stručnog usavršavanja to opravdava, radnik je dužan stečena znanja prenijeti drugim radnicima putem stručnog izlaganja, radionice, pisanog prikaza ili drugog primjerenog oblika razmjene znanja.</w:t>
      </w:r>
    </w:p>
    <w:p w14:paraId="6247086B">
      <w:pPr>
        <w:pStyle w:val="20"/>
      </w:pPr>
      <w:r>
        <w:t xml:space="preserve">Vrtić vodi Evidenciju stručnog usavršavanja radnika na obrascu </w:t>
      </w:r>
      <w:r>
        <w:rPr>
          <w:b/>
          <w:bCs/>
        </w:rPr>
        <w:t>iz Priloga 9. – Evidencija stručnog usavršavanja radnika</w:t>
      </w:r>
      <w:r>
        <w:t>, koji je sastavni dio ovoga Pravilnika.</w:t>
      </w:r>
    </w:p>
    <w:p w14:paraId="5152749E">
      <w:pPr>
        <w:pStyle w:val="22"/>
      </w:pPr>
      <w:r>
        <w:t>Troškovi stručnog usavršavanja</w:t>
      </w:r>
    </w:p>
    <w:p w14:paraId="63509F66">
      <w:pPr>
        <w:pStyle w:val="20"/>
      </w:pPr>
      <w:r>
        <w:t>Troškove stručnog usavršavanja koje je odobrio ili organizirao Vrtić snosi Vrtić, u skladu s financijskim planom i raspoloživim sredstvima.</w:t>
      </w:r>
    </w:p>
    <w:p w14:paraId="26FFE944">
      <w:pPr>
        <w:pStyle w:val="20"/>
      </w:pPr>
      <w:r>
        <w:t>Ako se stručno usavršavanje financira iz projekata, donacija ili drugih izvora, sredstva se koriste u skladu s pravilima financiranja.</w:t>
      </w:r>
    </w:p>
    <w:p w14:paraId="42A4AE0B">
      <w:pPr>
        <w:pStyle w:val="20"/>
      </w:pPr>
      <w:r>
        <w:t>Za dugotrajna ili financijski zahtjevna stručna usavršavanja Vrtić i radnik mogu sklopiti poseban sporazum kojim uređuju međusobna prava i obveze, u skladu sa zakonom.</w:t>
      </w:r>
    </w:p>
    <w:p w14:paraId="50F0BA32">
      <w:pPr>
        <w:pStyle w:val="22"/>
      </w:pPr>
      <w:r>
        <w:t>Primjena stečenih znanja i profesionalni razvoj</w:t>
      </w:r>
    </w:p>
    <w:p w14:paraId="3E23FD43">
      <w:pPr>
        <w:pStyle w:val="20"/>
      </w:pPr>
      <w:r>
        <w:t>Radnik je dužan stečena znanja i vještine primjenjivati u svakodnevnom radu te doprinositi unapređenju kvalitete odgojno-obrazovnog procesa i poslovanja Vrtića.</w:t>
      </w:r>
    </w:p>
    <w:p w14:paraId="05B7B8CD">
      <w:pPr>
        <w:pStyle w:val="20"/>
      </w:pPr>
      <w:r>
        <w:t>Vrtić potiče razmjenu stručnih iskustava, timski rad, razvoj inovativnih metoda rada i primjenu suvremenih stručnih spoznaja.</w:t>
      </w:r>
    </w:p>
    <w:p w14:paraId="7439528E">
      <w:pPr>
        <w:pStyle w:val="20"/>
      </w:pPr>
      <w:r>
        <w:t>Profesionalni razvoj radnika temelji se na načelima cjeloživotnog učenja, međusobne suradnje, profesionalne odgovornosti i kontinuiranog unapređenja kvalitete rada.</w:t>
      </w:r>
    </w:p>
    <w:p w14:paraId="562119BB">
      <w:pPr>
        <w:rPr>
          <w:rFonts w:ascii="Calibri" w:hAnsi="Calibri" w:eastAsia="Calibri" w:cs="Calibri"/>
          <w:kern w:val="0"/>
          <w14:ligatures w14:val="none"/>
        </w:rPr>
      </w:pPr>
    </w:p>
    <w:p w14:paraId="40CE5EC2">
      <w:pPr>
        <w:pStyle w:val="17"/>
      </w:pPr>
      <w:r>
        <w:t xml:space="preserve"> ZAŠTITA ŽIVOTA, ZDRAVLJA, DOSTOJANSTVA I PRIVATNOSTI RADNIKA</w:t>
      </w:r>
    </w:p>
    <w:p w14:paraId="481603EE">
      <w:pPr>
        <w:pStyle w:val="22"/>
      </w:pPr>
      <w:r>
        <w:t>Zaštita života i zdravlja na radu</w:t>
      </w:r>
    </w:p>
    <w:p w14:paraId="0FA197EE">
      <w:pPr>
        <w:pStyle w:val="20"/>
      </w:pPr>
      <w:r>
        <w:t>Vrtić je dužan osigurati sigurne uvjete rada u skladu sa zakonom i drugim propisima kojima se uređuje zaštita na radu.</w:t>
      </w:r>
    </w:p>
    <w:p w14:paraId="454E5077">
      <w:pPr>
        <w:pStyle w:val="20"/>
      </w:pPr>
      <w:r>
        <w:t>Radnik je dužan pridržavati se propisanih mjera zaštite na radu, koristiti propisanu zaštitnu opremu kada je to potrebno te odgovorno postupati radi zaštite vlastite sigurnosti i sigurnosti drugih osoba.</w:t>
      </w:r>
    </w:p>
    <w:p w14:paraId="6871B840">
      <w:pPr>
        <w:pStyle w:val="20"/>
      </w:pPr>
      <w:r>
        <w:t>Svaki radnik dužan je odmah prijaviti ravnatelju ili drugoj ovlaštenoj osobi uočene opasnosti, nedostatke ili okolnosti koje mogu ugroziti sigurnost djece, radnika ili drugih osoba.</w:t>
      </w:r>
    </w:p>
    <w:p w14:paraId="069A37F6">
      <w:pPr>
        <w:pStyle w:val="22"/>
      </w:pPr>
      <w:r>
        <w:t>Ozljede na radu i izvanredni događaji</w:t>
      </w:r>
    </w:p>
    <w:p w14:paraId="656184A6">
      <w:pPr>
        <w:pStyle w:val="20"/>
      </w:pPr>
      <w:r>
        <w:t>Radnik je dužan bez odgađanja prijaviti svaku ozljedu na radu, profesionalnu bolest ili drugi izvanredni događaj koji se dogodio tijekom rada ili u vezi s radom.</w:t>
      </w:r>
    </w:p>
    <w:p w14:paraId="692ABB8E">
      <w:pPr>
        <w:pStyle w:val="20"/>
      </w:pPr>
      <w:r>
        <w:t>Vrtić je dužan poduzeti mjere propisane zakonom radi zaštite radnika i utvrđivanja okolnosti nastanka događaja.</w:t>
      </w:r>
    </w:p>
    <w:p w14:paraId="2CBFA35B">
      <w:pPr>
        <w:pStyle w:val="22"/>
      </w:pPr>
      <w:r>
        <w:t>Zaštita dostojanstva radnika</w:t>
      </w:r>
    </w:p>
    <w:p w14:paraId="4EEA9E9E">
      <w:pPr>
        <w:pStyle w:val="20"/>
      </w:pPr>
      <w:r>
        <w:t>Svaki radnik ima pravo na poštovanje osobnosti, dostojanstva i privatnosti tijekom rada.</w:t>
      </w:r>
    </w:p>
    <w:p w14:paraId="19D3F4F5">
      <w:pPr>
        <w:pStyle w:val="20"/>
      </w:pPr>
      <w:r>
        <w:t>Zabranjen je svaki oblik diskriminacije, uznemiravanja, spolnog uznemiravanja, nasilja, zlostavljanja, psihosocijalno nasilje ili drugog neprimjerenog ponašanja kojim se vrijeđa dostojanstvo radnika.</w:t>
      </w:r>
    </w:p>
    <w:p w14:paraId="73692182">
      <w:pPr>
        <w:pStyle w:val="20"/>
      </w:pPr>
      <w:r>
        <w:t>Vrtić će poduzeti odgovarajuće mjere radi sprječavanja i otklanjanja ponašanja iz stavka 2. ovoga članka.</w:t>
      </w:r>
    </w:p>
    <w:p w14:paraId="21A3CAAE">
      <w:pPr>
        <w:pStyle w:val="22"/>
      </w:pPr>
      <w:r>
        <w:t>Postupak zaštite dostojanstva radnika</w:t>
      </w:r>
    </w:p>
    <w:p w14:paraId="23A32F82">
      <w:pPr>
        <w:pStyle w:val="20"/>
      </w:pPr>
      <w:r>
        <w:t>Radnik koji smatra da mu je povrijeđeno dostojanstvo može podnijeti pisanu ili usmenu prijavu osobi ovlaštenoj za zaštitu dostojanstva radnika ili ravnatelju, u skladu sa zakonom.</w:t>
      </w:r>
    </w:p>
    <w:p w14:paraId="46624DD7">
      <w:pPr>
        <w:pStyle w:val="20"/>
      </w:pPr>
      <w:r>
        <w:t>Postupak zaštite dostojanstva provodi se žurno, nepristrano i uz zaštitu privatnosti svih sudionika.</w:t>
      </w:r>
    </w:p>
    <w:p w14:paraId="4451131D">
      <w:pPr>
        <w:pStyle w:val="20"/>
      </w:pPr>
      <w:r>
        <w:t>Sve osobe uključene u postupak dužne su čuvati povjerljivost podataka koje saznaju tijekom postupka.</w:t>
      </w:r>
    </w:p>
    <w:p w14:paraId="7557097D">
      <w:pPr>
        <w:pStyle w:val="20"/>
      </w:pPr>
      <w:r>
        <w:t xml:space="preserve">Prijava iz stavka 1. ovoga članka može se podnijeti i na obrascu iz </w:t>
      </w:r>
      <w:r>
        <w:rPr>
          <w:b/>
          <w:bCs/>
        </w:rPr>
        <w:t>Priloga 8. – Obrazac za prijavu povrede dostojanstva radnika</w:t>
      </w:r>
      <w:r>
        <w:t>, koji je sastavni dio ovoga Pravilnika.</w:t>
      </w:r>
    </w:p>
    <w:p w14:paraId="4143A894">
      <w:pPr>
        <w:pStyle w:val="22"/>
      </w:pPr>
      <w:r>
        <w:t>Zaštita prijavitelja nepravilnosti</w:t>
      </w:r>
    </w:p>
    <w:p w14:paraId="5BA70F3B">
      <w:pPr>
        <w:pStyle w:val="20"/>
      </w:pPr>
      <w:r>
        <w:t>Radnik koji u dobroj vjeri prijavi nepravilnost ili sumnju na nezakonito postupanje ne smije zbog toga biti stavljen u nepovoljniji položaj.</w:t>
      </w:r>
    </w:p>
    <w:p w14:paraId="33001FA1">
      <w:pPr>
        <w:pStyle w:val="20"/>
      </w:pPr>
      <w:r>
        <w:t>Postupanje po prijavama nepravilnosti provodi se u skladu s posebnim propisima i općim aktima Vrtića.</w:t>
      </w:r>
    </w:p>
    <w:p w14:paraId="34E5109D">
      <w:pPr>
        <w:pStyle w:val="22"/>
      </w:pPr>
      <w:r>
        <w:t>Zaštita osobnih podataka</w:t>
      </w:r>
    </w:p>
    <w:p w14:paraId="52BB3465">
      <w:pPr>
        <w:pStyle w:val="20"/>
      </w:pPr>
      <w:r>
        <w:t>Vrtić prikuplja, obrađuje, koristi i čuva osobne podatke radnika samo u opsegu potrebnom za ostvarivanje prava i obveza iz radnog odnosa te u skladu s propisima o zaštiti osobnih podataka.</w:t>
      </w:r>
    </w:p>
    <w:p w14:paraId="72D5ECF7">
      <w:pPr>
        <w:pStyle w:val="20"/>
      </w:pPr>
      <w:r>
        <w:t>Radnici koji u okviru svojih poslova obrađuju osobne podatke dužni su postupati zakonito, povjerljivo i odgovorno.</w:t>
      </w:r>
    </w:p>
    <w:p w14:paraId="15A6E982">
      <w:pPr>
        <w:pStyle w:val="22"/>
      </w:pPr>
      <w:r>
        <w:t>Videonadzor i druga sredstva nadzora</w:t>
      </w:r>
    </w:p>
    <w:p w14:paraId="3F58DFEA">
      <w:pPr>
        <w:pStyle w:val="20"/>
      </w:pPr>
      <w:r>
        <w:t>Ako Vrtić koristi videonadzor ili druga dopuštena sredstva nadzora, ona se mogu koristiti isključivo radi zaštite osoba i imovine te u skladu sa zakonom.</w:t>
      </w:r>
    </w:p>
    <w:p w14:paraId="4F92FCFB">
      <w:pPr>
        <w:pStyle w:val="20"/>
      </w:pPr>
      <w:r>
        <w:t>Radnici moraju biti unaprijed obaviješteni o postojanju i svrsi videonadzora.</w:t>
      </w:r>
    </w:p>
    <w:p w14:paraId="55001561">
      <w:pPr>
        <w:pStyle w:val="20"/>
      </w:pPr>
      <w:r>
        <w:t>Videonadzor se ne smije koristiti na način kojim se neopravdano zadire u dostojanstvo i privatnost radnika.</w:t>
      </w:r>
    </w:p>
    <w:p w14:paraId="7DEFB1CB">
      <w:pPr>
        <w:pStyle w:val="22"/>
      </w:pPr>
      <w:r>
        <w:t>Liječnički pregledi i zdravstvena sposobnost</w:t>
      </w:r>
    </w:p>
    <w:p w14:paraId="6F84BC8B">
      <w:pPr>
        <w:pStyle w:val="20"/>
      </w:pPr>
      <w:r>
        <w:t>Radnici su dužni pristupiti prethodnim, periodičnim i izvanrednim zdravstvenim pregledima kada je to propisano zakonom, procjenom rizika ili odlukom poslodavca radi zaštite zdravlja i sigurnosti na radu.</w:t>
      </w:r>
    </w:p>
    <w:p w14:paraId="52420DD1">
      <w:pPr>
        <w:pStyle w:val="20"/>
      </w:pPr>
      <w:r>
        <w:t>Troškove pregleda koji se provode na zahtjev ili za potrebe Vrtića snosi Vrtić, ako posebnim propisom nije drukčije određeno.</w:t>
      </w:r>
    </w:p>
    <w:p w14:paraId="4B18E55D">
      <w:pPr>
        <w:rPr>
          <w:rFonts w:ascii="Calibri" w:hAnsi="Calibri" w:eastAsia="Calibri" w:cs="Calibri"/>
          <w:kern w:val="0"/>
          <w14:ligatures w14:val="none"/>
        </w:rPr>
      </w:pPr>
    </w:p>
    <w:p w14:paraId="152403D8">
      <w:pPr>
        <w:pStyle w:val="22"/>
      </w:pPr>
      <w:r>
        <w:t>Promicanje sigurnog i zdravog radnog okruženja</w:t>
      </w:r>
    </w:p>
    <w:p w14:paraId="21B42DE4">
      <w:pPr>
        <w:pStyle w:val="20"/>
      </w:pPr>
      <w:r>
        <w:t>Vrtić promiče radno okruženje koje se temelji na međusobnom poštovanju, suradnji, sigurnosti i očuvanju tjelesnog i mentalnog zdravlja radnika.</w:t>
      </w:r>
    </w:p>
    <w:p w14:paraId="1851550E">
      <w:pPr>
        <w:pStyle w:val="20"/>
      </w:pPr>
      <w:r>
        <w:t>Radnici su dužni svojim ponašanjem doprinositi stvaranju sigurnog, uključivog i poticajnog radnog okruženja.</w:t>
      </w:r>
    </w:p>
    <w:p w14:paraId="0338A9AB">
      <w:pPr>
        <w:rPr>
          <w:rFonts w:ascii="Calibri" w:hAnsi="Calibri" w:eastAsia="Calibri" w:cs="Calibri"/>
          <w:kern w:val="0"/>
          <w14:ligatures w14:val="none"/>
        </w:rPr>
      </w:pPr>
    </w:p>
    <w:p w14:paraId="1D9AA0A0">
      <w:pPr>
        <w:pStyle w:val="17"/>
      </w:pPr>
      <w:r>
        <w:t xml:space="preserve"> ODGOVORNOST RADNIKA</w:t>
      </w:r>
    </w:p>
    <w:p w14:paraId="5010EBDF">
      <w:pPr>
        <w:pStyle w:val="22"/>
      </w:pPr>
      <w:r>
        <w:t>Odgovornost za izvršavanje radnih obveza</w:t>
      </w:r>
    </w:p>
    <w:p w14:paraId="3435AA5F">
      <w:pPr>
        <w:pStyle w:val="20"/>
      </w:pPr>
      <w:r>
        <w:t>Radnik je odgovoran za uredno, savjesno, stručno i pravodobno izvršavanje poslova radnog mjesta te za poštivanje zakona, ovoga Pravilnika i drugih općih akata Vrtića.</w:t>
      </w:r>
    </w:p>
    <w:p w14:paraId="09D5C89F">
      <w:pPr>
        <w:pStyle w:val="20"/>
      </w:pPr>
      <w:r>
        <w:t>Radnik odgovara za svoje postupke i propuste koji mogu utjecati na sigurnost djece, zakonitost rada, imovinu ili ugled Vrtića.</w:t>
      </w:r>
    </w:p>
    <w:p w14:paraId="697E2186">
      <w:pPr>
        <w:pStyle w:val="20"/>
      </w:pPr>
      <w:r>
        <w:t>Odgovornost radnika utvrđuje se u skladu sa zakonom i ovim Pravilnikom.</w:t>
      </w:r>
    </w:p>
    <w:p w14:paraId="6DF4FAC6">
      <w:pPr>
        <w:pStyle w:val="22"/>
      </w:pPr>
      <w:r>
        <w:t>Lakše povrede radnih obveza</w:t>
      </w:r>
    </w:p>
    <w:p w14:paraId="6A457AAF">
      <w:pPr>
        <w:pStyle w:val="20"/>
      </w:pPr>
      <w:r>
        <w:t>Lakšim povredama radnih obveza osobito se smatraju:</w:t>
      </w:r>
    </w:p>
    <w:p w14:paraId="0680760D">
      <w:pPr>
        <w:numPr>
          <w:ilvl w:val="2"/>
          <w:numId w:val="6"/>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neopravdano kašnjenje na posao ili raniji odlazak s posla, </w:t>
      </w:r>
    </w:p>
    <w:p w14:paraId="093D8879">
      <w:pPr>
        <w:numPr>
          <w:ilvl w:val="2"/>
          <w:numId w:val="6"/>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neuredno vođenje propisane dokumentacije, </w:t>
      </w:r>
    </w:p>
    <w:p w14:paraId="18A942D5">
      <w:pPr>
        <w:numPr>
          <w:ilvl w:val="2"/>
          <w:numId w:val="6"/>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nepoštivanje internih procedura koje nije prouzročilo štetne posljedice, </w:t>
      </w:r>
    </w:p>
    <w:p w14:paraId="307593B0">
      <w:pPr>
        <w:numPr>
          <w:ilvl w:val="2"/>
          <w:numId w:val="6"/>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neprimjeren odnos prema suradnicima, roditeljima ili drugim osobama ako takvo ponašanje nije teža povreda radne obveze, </w:t>
      </w:r>
    </w:p>
    <w:p w14:paraId="29AF8428">
      <w:pPr>
        <w:numPr>
          <w:ilvl w:val="2"/>
          <w:numId w:val="6"/>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nemarno korištenje sredstava rada bez nastanka znatnije štete, </w:t>
      </w:r>
    </w:p>
    <w:p w14:paraId="4D6DB55E">
      <w:pPr>
        <w:numPr>
          <w:ilvl w:val="2"/>
          <w:numId w:val="6"/>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nepravodobno obavještavanje o okolnostima važnim za organizaciju rada, </w:t>
      </w:r>
    </w:p>
    <w:p w14:paraId="04D3B1E4">
      <w:pPr>
        <w:numPr>
          <w:ilvl w:val="2"/>
          <w:numId w:val="6"/>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druge povrede radnih obveza koje po svojoj naravi i posljedicama nisu teške. </w:t>
      </w:r>
    </w:p>
    <w:p w14:paraId="12C54336">
      <w:pPr>
        <w:pStyle w:val="22"/>
      </w:pPr>
      <w:r>
        <w:t>Teške povrede obveza iz radnog odnosa</w:t>
      </w:r>
    </w:p>
    <w:p w14:paraId="34B01AFA">
      <w:pPr>
        <w:pStyle w:val="20"/>
      </w:pPr>
      <w:r>
        <w:t>Teškim povredama obveza iz radnog odnosa osobito se smatraju:</w:t>
      </w:r>
    </w:p>
    <w:p w14:paraId="6307B0AD">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namjerno ili iz krajnje nepažnje ugrožavanje života, zdravlja ili sigurnosti djece, radnika ili drugih osoba tijekom rada ili u vezi s radom; </w:t>
      </w:r>
    </w:p>
    <w:p w14:paraId="3911BE1B">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nasilničko ponašanje, uznemiravanje, spolno uznemiravanje, diskriminacija ili drugi oblici ponašanja kojima se povređuje dostojanstvo osobe; </w:t>
      </w:r>
    </w:p>
    <w:p w14:paraId="78B6E2CE">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povreda obveze čuvanja poslovne tajne ili neovlašteno otkrivanje povjerljivih podataka; </w:t>
      </w:r>
    </w:p>
    <w:p w14:paraId="1B27E03D">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nezakonita ili neovlaštena obrada, korištenje ili otkrivanje osobnih podataka; </w:t>
      </w:r>
    </w:p>
    <w:p w14:paraId="63D2511C">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krivotvorenje, uništavanje, prikrivanje ili neovlaštena izmjena službene dokumentacije, evidencija ili elektroničkih zapisa; </w:t>
      </w:r>
    </w:p>
    <w:p w14:paraId="167E8DEB">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neovlašteno korištenje, otuđenje ili namjerno oštećenje imovine Dječjeg vrtića ili imovine povjerene na korištenje; </w:t>
      </w:r>
    </w:p>
    <w:p w14:paraId="101735AF">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neovlašteno korištenje informacijskih sustava, službenih korisničkih računa ili digitalnih resursa Dječjeg vrtića, kao i davanje pristupnih podataka drugim osobama; </w:t>
      </w:r>
    </w:p>
    <w:p w14:paraId="65732EB9">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korištenje sustava umjetne inteligencije, digitalnih alata ili drugih informacijskih tehnologija protivno zakonu, ovom Pravilniku ili drugim općim aktima Dječjeg vrtića, ako je time ugrožena sigurnost, zakonitost rada ili prava djece, roditelja, radnika ili drugih osoba; </w:t>
      </w:r>
    </w:p>
    <w:p w14:paraId="0ED4593C">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dolazak na rad ili boravak na radu pod utjecajem alkohola ili drugih sredstava ovisnosti, kao i njihovo unošenje ili konzumiranje u prostorima Dječjeg vrtića, osim kada je to dopušteno posebnim propisima; </w:t>
      </w:r>
    </w:p>
    <w:p w14:paraId="0370071A">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odbijanje izvršenja zakonite upute ravnatelja ili druge ovlaštene osobe, ako je time ozbiljno ugrožen proces rada ili zakonito poslovanje Dječjeg vrtića; </w:t>
      </w:r>
    </w:p>
    <w:p w14:paraId="7BCD1BAD">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ponavljanje lakših povreda obveza iz radnog odnosa koje, zbog svoje učestalosti ili posljedica, predstavljaju težu povredu radne obveze; </w:t>
      </w:r>
    </w:p>
    <w:p w14:paraId="06ABB4A3">
      <w:pPr>
        <w:numPr>
          <w:ilvl w:val="2"/>
          <w:numId w:val="7"/>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svako drugo ponašanje koje predstavlja osobito tešku povredu obveza iz radnog odnosa u smislu Zakona o radu.</w:t>
      </w:r>
    </w:p>
    <w:p w14:paraId="45F8D8E8">
      <w:pPr>
        <w:pStyle w:val="22"/>
      </w:pPr>
      <w:r>
        <w:t>Postupanje u slučaju povrede radne obveze</w:t>
      </w:r>
    </w:p>
    <w:p w14:paraId="76A60BC7">
      <w:pPr>
        <w:pStyle w:val="20"/>
      </w:pPr>
      <w:r>
        <w:t>Prije poduzimanja mjera zbog povrede radne obveze radniku će se, ako zakonom nije drukčije propisano, omogućiti da iznese svoje očitovanje o činjenicama i okolnostima koje mu se stavljaju na teret.</w:t>
      </w:r>
    </w:p>
    <w:p w14:paraId="5B1EC6C7">
      <w:pPr>
        <w:pStyle w:val="20"/>
      </w:pPr>
      <w:r>
        <w:t>Pri odlučivanju o mjerama uzimaju se u obzir težina povrede, okolnosti pod kojima je počinjena, posljedice povrede, ponašanje radnika prije i nakon povrede te druge okolnosti od značaja za donošenje odluke.</w:t>
      </w:r>
    </w:p>
    <w:p w14:paraId="511DA639">
      <w:pPr>
        <w:pStyle w:val="22"/>
      </w:pPr>
      <w:r>
        <w:t>Materijalna odgovornost radnika</w:t>
      </w:r>
    </w:p>
    <w:p w14:paraId="797EBE15">
      <w:pPr>
        <w:pStyle w:val="20"/>
      </w:pPr>
      <w:r>
        <w:t>Radnik koji na radu ili u vezi s radom namjerno ili krajnjom nepažnjom prouzroči štetu Vrtiću odgovara za štetu u skladu sa Zakonom o radu i drugim propisima.</w:t>
      </w:r>
    </w:p>
    <w:p w14:paraId="0E4F229E">
      <w:pPr>
        <w:pStyle w:val="20"/>
      </w:pPr>
      <w:r>
        <w:t>O nastanku štete sastavlja se zapisnik kojim se utvrđuju okolnosti nastanka štete i njezin opseg.</w:t>
      </w:r>
    </w:p>
    <w:p w14:paraId="6670578F">
      <w:pPr>
        <w:pStyle w:val="22"/>
      </w:pPr>
      <w:r>
        <w:t>Odgovornost Vrtića za štetu</w:t>
      </w:r>
    </w:p>
    <w:p w14:paraId="7EDBF5D1">
      <w:pPr>
        <w:pStyle w:val="20"/>
      </w:pPr>
      <w:r>
        <w:t>Vrtić odgovara radniku za štetu koju pretrpi na radu ili u vezi s radom pod uvjetima i na način propisan Zakonom o radu i drugim propisima.</w:t>
      </w:r>
    </w:p>
    <w:p w14:paraId="577BCFB4">
      <w:pPr>
        <w:pStyle w:val="22"/>
      </w:pPr>
      <w:r>
        <w:t>Zaštita ugleda Vrtića</w:t>
      </w:r>
    </w:p>
    <w:p w14:paraId="43DC0D0C">
      <w:pPr>
        <w:pStyle w:val="20"/>
      </w:pPr>
      <w:r>
        <w:t>Radnik je dužan i izvan radnog vremena suzdržavati se od ponašanja koje bi moglo ozbiljno narušiti ugled Vrtića ili povjerenje roditelja i javnosti u rad ustanove, ako je takvo ponašanje povezano s obavljanjem njegovih radnih obveza ili službenim statusom.</w:t>
      </w:r>
    </w:p>
    <w:p w14:paraId="6BED6B56">
      <w:pPr>
        <w:pStyle w:val="20"/>
      </w:pPr>
      <w:r>
        <w:t>Odredba stavka 1. ovoga članka ne ograničava pravo radnika na slobodu izražavanja, sindikalno djelovanje niti druga prava zajamčena Ustavom i zakonom.</w:t>
      </w:r>
    </w:p>
    <w:p w14:paraId="0E3BA440">
      <w:pPr>
        <w:rPr>
          <w:rFonts w:ascii="Calibri" w:hAnsi="Calibri" w:eastAsia="Calibri" w:cs="Calibri"/>
          <w:kern w:val="0"/>
          <w14:ligatures w14:val="none"/>
        </w:rPr>
      </w:pPr>
    </w:p>
    <w:p w14:paraId="0040C74F">
      <w:pPr>
        <w:rPr>
          <w:rFonts w:ascii="Calibri" w:hAnsi="Calibri" w:eastAsia="Calibri" w:cs="Calibri"/>
          <w:kern w:val="0"/>
          <w14:ligatures w14:val="none"/>
        </w:rPr>
      </w:pPr>
    </w:p>
    <w:p w14:paraId="1851D93A">
      <w:pPr>
        <w:rPr>
          <w:rFonts w:ascii="Calibri" w:hAnsi="Calibri" w:eastAsia="Calibri" w:cs="Calibri"/>
          <w:kern w:val="0"/>
          <w14:ligatures w14:val="none"/>
        </w:rPr>
      </w:pPr>
    </w:p>
    <w:p w14:paraId="0EA719F6">
      <w:pPr>
        <w:rPr>
          <w:rFonts w:ascii="Calibri" w:hAnsi="Calibri" w:eastAsia="Calibri" w:cs="Calibri"/>
          <w:kern w:val="0"/>
          <w14:ligatures w14:val="none"/>
        </w:rPr>
      </w:pPr>
    </w:p>
    <w:p w14:paraId="5583B072">
      <w:pPr>
        <w:pStyle w:val="17"/>
      </w:pPr>
      <w:r>
        <w:t xml:space="preserve"> PRESTANAK RADNOG ODNOSA</w:t>
      </w:r>
    </w:p>
    <w:p w14:paraId="3814D61D">
      <w:pPr>
        <w:pStyle w:val="22"/>
      </w:pPr>
      <w:r>
        <w:t>Prestanak radnog odnosa</w:t>
      </w:r>
    </w:p>
    <w:p w14:paraId="1266E211">
      <w:pPr>
        <w:pStyle w:val="20"/>
      </w:pPr>
      <w:r>
        <w:t>Radni odnos prestaje na način i pod uvjetima propisanima Zakonom o radu i drugim propisima koji uređuju radne odnose.</w:t>
      </w:r>
    </w:p>
    <w:p w14:paraId="0FFB5D40">
      <w:pPr>
        <w:pStyle w:val="20"/>
      </w:pPr>
      <w:r>
        <w:t>Radnik i Dječji vrtić dužni su pri prestanku radnog odnosa postupati savjesno, odgovorno i u dobroj vjeri te poduzeti radnje potrebne za urednu primopredaju poslova, zaštitu imovine i dokumentacije te osiguranje kontinuiteta rada.</w:t>
      </w:r>
    </w:p>
    <w:p w14:paraId="39352722">
      <w:pPr>
        <w:pStyle w:val="20"/>
      </w:pPr>
      <w:r>
        <w:t>Prestanak radnog odnosa ne oslobađa radnika obveze čuvanja poslovne tajne, zaštite osobnih podataka niti drugih obveza koje prema svojoj naravi traju i nakon prestanka radnog odnosa.</w:t>
      </w:r>
    </w:p>
    <w:p w14:paraId="5B147D98">
      <w:pPr>
        <w:pStyle w:val="22"/>
      </w:pPr>
      <w:r>
        <w:t>Primopredaja poslova</w:t>
      </w:r>
    </w:p>
    <w:p w14:paraId="3C2312C0">
      <w:pPr>
        <w:pStyle w:val="20"/>
      </w:pPr>
      <w:r>
        <w:t>Prije prestanka radnog odnosa radnik je dužan izvršiti urednu primopredaju poslova, dokumentacije, predmeta u radu i drugih zaduženja.</w:t>
      </w:r>
    </w:p>
    <w:p w14:paraId="2893241F">
      <w:pPr>
        <w:pStyle w:val="20"/>
      </w:pPr>
      <w:r>
        <w:t>Primopredaja se obavlja osobi koju odredi ravnatelj.</w:t>
      </w:r>
    </w:p>
    <w:p w14:paraId="2FDD80F8">
      <w:pPr>
        <w:pStyle w:val="20"/>
      </w:pPr>
      <w:r>
        <w:t xml:space="preserve">O izvršenoj primopredaji sastavlja se zapisnik na obrascu iz </w:t>
      </w:r>
      <w:r>
        <w:rPr>
          <w:b/>
          <w:bCs/>
        </w:rPr>
        <w:t>Priloga 2.</w:t>
      </w:r>
      <w:r>
        <w:t xml:space="preserve"> ovoga Pravilnika, ako je primjenjivo.</w:t>
      </w:r>
    </w:p>
    <w:p w14:paraId="5FA97D6A">
      <w:pPr>
        <w:pStyle w:val="20"/>
      </w:pPr>
      <w:r>
        <w:t>Ako zbog opravdanih razloga primopredaju nije moguće izvršiti na način propisan ovim člankom, ravnatelj će odrediti način osiguranja dokumentacije, opreme i drugih sredstava rada.</w:t>
      </w:r>
    </w:p>
    <w:p w14:paraId="38B79A0A">
      <w:pPr>
        <w:pStyle w:val="22"/>
      </w:pPr>
      <w:r>
        <w:t>Povrat imovine Dječjeg vrtića</w:t>
      </w:r>
    </w:p>
    <w:p w14:paraId="769D45A0">
      <w:pPr>
        <w:pStyle w:val="20"/>
      </w:pPr>
      <w:r>
        <w:t>Radnik je prije prestanka radnog odnosa dužan vratiti svu službenu imovinu koju je koristio tijekom rada.</w:t>
      </w:r>
    </w:p>
    <w:p w14:paraId="0A84FCB8">
      <w:pPr>
        <w:pStyle w:val="20"/>
      </w:pPr>
      <w:r>
        <w:t>Službenom imovinom smatraju se osobito:</w:t>
      </w:r>
    </w:p>
    <w:p w14:paraId="2ADFE068">
      <w:pPr>
        <w:numPr>
          <w:ilvl w:val="2"/>
          <w:numId w:val="8"/>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ključevi, </w:t>
      </w:r>
    </w:p>
    <w:p w14:paraId="69B0CD25">
      <w:pPr>
        <w:numPr>
          <w:ilvl w:val="2"/>
          <w:numId w:val="8"/>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identifikacijske iskaznice, </w:t>
      </w:r>
    </w:p>
    <w:p w14:paraId="3EBAFCB4">
      <w:pPr>
        <w:numPr>
          <w:ilvl w:val="2"/>
          <w:numId w:val="8"/>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informatička i komunikacijska oprema, </w:t>
      </w:r>
    </w:p>
    <w:p w14:paraId="267D4D53">
      <w:pPr>
        <w:numPr>
          <w:ilvl w:val="2"/>
          <w:numId w:val="8"/>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dokumentacija, </w:t>
      </w:r>
    </w:p>
    <w:p w14:paraId="300C2B04">
      <w:pPr>
        <w:numPr>
          <w:ilvl w:val="2"/>
          <w:numId w:val="8"/>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pečati, </w:t>
      </w:r>
    </w:p>
    <w:p w14:paraId="5DDB0554">
      <w:pPr>
        <w:numPr>
          <w:ilvl w:val="2"/>
          <w:numId w:val="8"/>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službene kartice, </w:t>
      </w:r>
    </w:p>
    <w:p w14:paraId="36684F4B">
      <w:pPr>
        <w:numPr>
          <w:ilvl w:val="2"/>
          <w:numId w:val="8"/>
        </w:numPr>
        <w:spacing w:after="0"/>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 xml:space="preserve">druga sredstva rada i imovina povjerena radniku. </w:t>
      </w:r>
    </w:p>
    <w:p w14:paraId="5AB6B9AD">
      <w:pPr>
        <w:pStyle w:val="20"/>
      </w:pPr>
      <w:r>
        <w:t xml:space="preserve">Povrat službene imovine evidentira se u postupku primopredaje poslova te u Evidenciji zaduženja službene opreme i imovine iz </w:t>
      </w:r>
      <w:r>
        <w:rPr>
          <w:b/>
          <w:bCs/>
        </w:rPr>
        <w:t>Priloga 7. – Evidencija zaduženja službene opreme i imovine</w:t>
      </w:r>
      <w:r>
        <w:t>, koji je sastavni dio ovoga Pravilnika.</w:t>
      </w:r>
    </w:p>
    <w:p w14:paraId="60B8E017">
      <w:pPr>
        <w:pStyle w:val="22"/>
      </w:pPr>
      <w:r>
        <w:t>Pristup informacijskim sustavima</w:t>
      </w:r>
    </w:p>
    <w:p w14:paraId="2F79C1A0">
      <w:pPr>
        <w:pStyle w:val="20"/>
      </w:pPr>
      <w:r>
        <w:t>Danom prestanka radnog odnosa ili najkasnije po završetku posljednjeg radnog dana radniku se ukidaju ovlaštenja za pristup službenim informacijskim sustavima, elektroničkoj pošti, mrežnim servisima i drugim digitalnim resursima Dječjeg vrtića.</w:t>
      </w:r>
    </w:p>
    <w:p w14:paraId="6D05E6D9">
      <w:pPr>
        <w:pStyle w:val="20"/>
      </w:pPr>
      <w:r>
        <w:t>Po potrebi se mijenjaju pristupni podaci za sustave kojima je radnik imao ovlašteni pristup.</w:t>
      </w:r>
    </w:p>
    <w:p w14:paraId="1675F6DD">
      <w:pPr>
        <w:pStyle w:val="20"/>
      </w:pPr>
      <w:r>
        <w:t>Digitalni podaci nastali tijekom rada ostaju u vlasništvu Dječjeg vrtića.</w:t>
      </w:r>
    </w:p>
    <w:p w14:paraId="0DE57CED">
      <w:pPr>
        <w:pStyle w:val="22"/>
      </w:pPr>
      <w:r>
        <w:t>Čuvanje povjerljivosti nakon prestanka radnog odnosa</w:t>
      </w:r>
    </w:p>
    <w:p w14:paraId="37F6406D">
      <w:pPr>
        <w:pStyle w:val="20"/>
      </w:pPr>
      <w:r>
        <w:t>Radnik je i nakon prestanka radnog odnosa dužan čuvati poslovnu tajnu, osobne podatke djece, roditelja, radnika i drugih osoba te druge povjerljive informacije do kojih je došao tijekom rada.</w:t>
      </w:r>
    </w:p>
    <w:p w14:paraId="7D127581">
      <w:pPr>
        <w:pStyle w:val="20"/>
      </w:pPr>
      <w:r>
        <w:t>Obveza iz stavka 1. ovoga članka traje dok podaci ne postanu javno dostupni ili dok posebnim propisom nije drukčije određeno.</w:t>
      </w:r>
    </w:p>
    <w:p w14:paraId="5E6B3D07">
      <w:pPr>
        <w:pStyle w:val="22"/>
      </w:pPr>
      <w:r>
        <w:t xml:space="preserve"> Završne radnje pri prestanku radnog odnosa</w:t>
      </w:r>
    </w:p>
    <w:p w14:paraId="53112915">
      <w:pPr>
        <w:pStyle w:val="20"/>
      </w:pPr>
      <w:r>
        <w:t>Pri prestanku radnog odnosa Dječji vrtić će radniku izdati isprave i potvrde na koje ima pravo u skladu sa zakonom.</w:t>
      </w:r>
    </w:p>
    <w:p w14:paraId="5461E7EA">
      <w:pPr>
        <w:pStyle w:val="20"/>
      </w:pPr>
      <w:r>
        <w:t>Administrativni i kadrovski poslovi vezani uz prestanak radnog odnosa provode se bez nepotrebnog odgađanja te u skladu s važećim propisima.</w:t>
      </w:r>
    </w:p>
    <w:p w14:paraId="4B0ADB51">
      <w:pPr>
        <w:pStyle w:val="20"/>
      </w:pPr>
      <w:r>
        <w:t>Osobni dosje radnika i druga dokumentacija čuvaju se u skladu s propisima kojima se uređuje zaštita osobnih podataka, arhivsko gradivo i uredsko poslovanje.</w:t>
      </w:r>
    </w:p>
    <w:p w14:paraId="7A8C8E0F">
      <w:pPr>
        <w:spacing w:after="0"/>
        <w:ind w:left="227"/>
        <w:jc w:val="both"/>
        <w:rPr>
          <w:rFonts w:ascii="Calibri" w:hAnsi="Calibri" w:eastAsia="Calibri" w:cs="Calibri"/>
          <w:kern w:val="0"/>
          <w:sz w:val="24"/>
          <w:szCs w:val="24"/>
          <w14:ligatures w14:val="none"/>
        </w:rPr>
      </w:pPr>
    </w:p>
    <w:p w14:paraId="2312CFCB">
      <w:pPr>
        <w:pStyle w:val="17"/>
      </w:pPr>
      <w:r>
        <w:t xml:space="preserve"> ZAŠTITA PRAVA RADNIKA</w:t>
      </w:r>
    </w:p>
    <w:p w14:paraId="23BA5D9D">
      <w:pPr>
        <w:pStyle w:val="22"/>
      </w:pPr>
      <w:r>
        <w:t>Pravo na zaštitu prava</w:t>
      </w:r>
    </w:p>
    <w:p w14:paraId="3FA612B9">
      <w:pPr>
        <w:pStyle w:val="20"/>
      </w:pPr>
      <w:r>
        <w:t>Radnik koji smatra da mu je odlukom, postupanjem ili propuštanjem Dječjeg vrtića povrijeđeno neko pravo iz radnog odnosa može zahtijevati zaštitu svojih prava u skladu sa zakonom i ovim Pravilnikom.</w:t>
      </w:r>
    </w:p>
    <w:p w14:paraId="61291002">
      <w:pPr>
        <w:pStyle w:val="20"/>
      </w:pPr>
      <w:r>
        <w:t>Dječji vrtić dužan je razmotriti zahtjev radnika na nepristran, zakonit i pravodoban način.</w:t>
      </w:r>
    </w:p>
    <w:p w14:paraId="7F57FD88">
      <w:pPr>
        <w:pStyle w:val="20"/>
      </w:pPr>
      <w:r>
        <w:t>Ostvarivanje prava na zaštitu prava ne smije biti razlog za stavljanje radnika u nepovoljniji položaj niti za bilo koji oblik diskriminacije ili odmazde.</w:t>
      </w:r>
    </w:p>
    <w:p w14:paraId="1DB1A9A1">
      <w:pPr>
        <w:pStyle w:val="22"/>
      </w:pPr>
      <w:r>
        <w:t>Podnošenje zahtjeva</w:t>
      </w:r>
    </w:p>
    <w:p w14:paraId="43C5573C">
      <w:pPr>
        <w:pStyle w:val="20"/>
      </w:pPr>
      <w:r>
        <w:t>Zahtjev za zaštitu prava podnosi se ravnatelju u pisanom obliku, osim ako je posebnim propisom određeno drukčije.</w:t>
      </w:r>
    </w:p>
    <w:p w14:paraId="04B07929">
      <w:pPr>
        <w:pStyle w:val="20"/>
      </w:pPr>
      <w:r>
        <w:t>Zahtjev treba sadržavati opis činjenica na kojima se temelji, naznaku prava za koje radnik smatra da je povrijeđeno te, prema mogućnosti, odgovarajuće dokaze.</w:t>
      </w:r>
    </w:p>
    <w:p w14:paraId="0124BDA4">
      <w:pPr>
        <w:pStyle w:val="20"/>
      </w:pPr>
      <w:r>
        <w:t>Ako je zahtjev nepotpun ili nerazumljiv, radnika se može pozvati da ga u primjerenom roku dopuni.</w:t>
      </w:r>
    </w:p>
    <w:p w14:paraId="0677126E">
      <w:pPr>
        <w:pStyle w:val="22"/>
      </w:pPr>
      <w:r>
        <w:t>Odlučivanje o zahtjevu</w:t>
      </w:r>
    </w:p>
    <w:p w14:paraId="210AB77E">
      <w:pPr>
        <w:pStyle w:val="20"/>
      </w:pPr>
      <w:r>
        <w:t>O zahtjevu za zaštitu prava odlučuje ravnatelj, odnosno drugo nadležno tijelo kada je to određeno zakonom, Statutom ili drugim općim aktom Dječjeg vrtića.</w:t>
      </w:r>
    </w:p>
    <w:p w14:paraId="332E12B9">
      <w:pPr>
        <w:pStyle w:val="20"/>
      </w:pPr>
      <w:r>
        <w:t>Prije donošenja odluke mogu se utvrđivati činjenice i provoditi druge radnje potrebne za pravilno i potpuno utvrđivanje okolnosti slučaja.</w:t>
      </w:r>
    </w:p>
    <w:p w14:paraId="099114A8">
      <w:pPr>
        <w:pStyle w:val="20"/>
      </w:pPr>
      <w:r>
        <w:t>Odluka se donosi i dostavlja radniku u rokovima propisanim zakonom.</w:t>
      </w:r>
    </w:p>
    <w:p w14:paraId="245BE38B">
      <w:pPr>
        <w:pStyle w:val="22"/>
      </w:pPr>
      <w:r>
        <w:t>Mirno rješavanje sporova</w:t>
      </w:r>
    </w:p>
    <w:p w14:paraId="7435161F">
      <w:pPr>
        <w:pStyle w:val="20"/>
      </w:pPr>
      <w:r>
        <w:t>Dječji vrtić i radnik nastojat će sporove iz radnog odnosa, kada je to moguće i dopušteno, riješiti mirnim putem, međusobnim razgovorom ili drugim odgovarajućim oblikom sporazumnog rješavanja, vodeći računa o zaštiti prava radnika i interesima Dječjeg vrtića.</w:t>
      </w:r>
    </w:p>
    <w:p w14:paraId="339EA02B">
      <w:pPr>
        <w:rPr>
          <w:rFonts w:ascii="Calibri" w:hAnsi="Calibri" w:eastAsia="Calibri" w:cs="Calibri"/>
          <w:kern w:val="0"/>
          <w14:ligatures w14:val="none"/>
        </w:rPr>
      </w:pPr>
    </w:p>
    <w:p w14:paraId="50C36CFD">
      <w:pPr>
        <w:pStyle w:val="17"/>
      </w:pPr>
      <w:r>
        <w:t xml:space="preserve"> ZAVRŠNE ODREDBE</w:t>
      </w:r>
    </w:p>
    <w:p w14:paraId="743905E4">
      <w:pPr>
        <w:pStyle w:val="22"/>
      </w:pPr>
      <w:r>
        <w:t>Primjena propisa</w:t>
      </w:r>
    </w:p>
    <w:p w14:paraId="4AA3EFD1">
      <w:pPr>
        <w:pStyle w:val="20"/>
      </w:pPr>
      <w:r>
        <w:t>Na pitanja koja nisu uređena ovim Pravilnikom primjenjuju se odredbe Zakona o radu, Zakona o predškolskom odgoju i obrazovanju te drugih važećih propisa koji uređuju radne odnose i djelatnost predškolskog odgoja i obrazovanja.</w:t>
      </w:r>
    </w:p>
    <w:p w14:paraId="7CC9EAF9">
      <w:pPr>
        <w:pStyle w:val="22"/>
      </w:pPr>
      <w:r>
        <w:t>Tumačenje Pravilnika</w:t>
      </w:r>
    </w:p>
    <w:p w14:paraId="694856B4">
      <w:pPr>
        <w:pStyle w:val="20"/>
      </w:pPr>
      <w:r>
        <w:t>Autentično tumačenje ovoga Pravilnika daje Upravno vijeće, a ravnatelj osigurava njegovu provedbu i daje upute za njegovu primjenu.</w:t>
      </w:r>
    </w:p>
    <w:p w14:paraId="20986E89">
      <w:pPr>
        <w:pStyle w:val="22"/>
      </w:pPr>
      <w:r>
        <w:t>Izmjene i dopune Pravilnika</w:t>
      </w:r>
    </w:p>
    <w:p w14:paraId="12D535BE">
      <w:pPr>
        <w:pStyle w:val="20"/>
      </w:pPr>
      <w:r>
        <w:t>Izmjene i dopune ovoga Pravilnika donose se na način i prema postupku propisanom za njegovo donošenje.</w:t>
      </w:r>
    </w:p>
    <w:p w14:paraId="56158BC7">
      <w:pPr>
        <w:pStyle w:val="22"/>
      </w:pPr>
      <w:r>
        <w:t>Prilozi Pravilnika</w:t>
      </w:r>
    </w:p>
    <w:p w14:paraId="13A03600">
      <w:pPr>
        <w:pStyle w:val="20"/>
      </w:pPr>
      <w:r>
        <w:t xml:space="preserve"> Sastavni dio ovoga Pravilnika čine sljedeći prilozi:</w:t>
      </w:r>
    </w:p>
    <w:tbl>
      <w:tblPr>
        <w:tblStyle w:val="25"/>
        <w:tblW w:w="0" w:type="auto"/>
        <w:tblInd w:w="567" w:type="dxa"/>
        <w:tblLayout w:type="autofit"/>
        <w:tblCellMar>
          <w:top w:w="0" w:type="dxa"/>
          <w:left w:w="108" w:type="dxa"/>
          <w:bottom w:w="0" w:type="dxa"/>
          <w:right w:w="108" w:type="dxa"/>
        </w:tblCellMar>
      </w:tblPr>
      <w:tblGrid>
        <w:gridCol w:w="1231"/>
        <w:gridCol w:w="7074"/>
      </w:tblGrid>
      <w:tr w14:paraId="5D4010AA">
        <w:tblPrEx>
          <w:tblCellMar>
            <w:top w:w="0" w:type="dxa"/>
            <w:left w:w="108" w:type="dxa"/>
            <w:bottom w:w="0" w:type="dxa"/>
            <w:right w:w="108" w:type="dxa"/>
          </w:tblCellMar>
        </w:tblPrEx>
        <w:tc>
          <w:tcPr>
            <w:tcW w:w="1231" w:type="dxa"/>
            <w:tcBorders>
              <w:bottom w:val="single" w:color="7F7F7F" w:sz="4" w:space="0"/>
              <w:right w:val="nil"/>
              <w:insideH w:val="single" w:sz="4" w:space="0"/>
            </w:tcBorders>
            <w:shd w:val="clear" w:color="auto" w:fill="FFFFFF"/>
          </w:tcPr>
          <w:p w14:paraId="04445646">
            <w:pPr>
              <w:spacing w:after="0" w:line="240" w:lineRule="auto"/>
              <w:ind w:left="-105"/>
              <w:jc w:val="right"/>
              <w:rPr>
                <w:rFonts w:ascii="Calibri" w:hAnsi="Calibri" w:eastAsia="Times New Roman" w:cs="Calibri"/>
                <w:b/>
                <w:bCs/>
                <w:i/>
                <w:iCs/>
                <w:kern w:val="0"/>
                <w:sz w:val="22"/>
                <w:szCs w:val="22"/>
                <w:lang w:eastAsia="hr-HR"/>
                <w14:ligatures w14:val="none"/>
              </w:rPr>
            </w:pPr>
            <w:r>
              <w:rPr>
                <w:rFonts w:ascii="Calibri" w:hAnsi="Calibri" w:eastAsia="Times New Roman" w:cs="Calibri"/>
                <w:b/>
                <w:bCs/>
                <w:i/>
                <w:iCs/>
                <w:kern w:val="0"/>
                <w:sz w:val="22"/>
                <w:szCs w:val="22"/>
                <w:lang w:eastAsia="hr-HR"/>
                <w14:ligatures w14:val="none"/>
              </w:rPr>
              <w:t>Prilog</w:t>
            </w:r>
          </w:p>
        </w:tc>
        <w:tc>
          <w:tcPr>
            <w:tcW w:w="0" w:type="auto"/>
            <w:tcBorders>
              <w:bottom w:val="single" w:color="7F7F7F" w:sz="4" w:space="0"/>
              <w:insideH w:val="single" w:sz="4" w:space="0"/>
            </w:tcBorders>
            <w:shd w:val="clear" w:color="auto" w:fill="FFFFFF"/>
          </w:tcPr>
          <w:p w14:paraId="4CAE7EB7">
            <w:pPr>
              <w:spacing w:after="0" w:line="240" w:lineRule="auto"/>
              <w:rPr>
                <w:rFonts w:ascii="Calibri" w:hAnsi="Calibri" w:eastAsia="Times New Roman" w:cs="Calibri"/>
                <w:b/>
                <w:bCs/>
                <w:i/>
                <w:iCs/>
                <w:kern w:val="0"/>
                <w:sz w:val="22"/>
                <w:szCs w:val="22"/>
                <w:lang w:eastAsia="hr-HR"/>
                <w14:ligatures w14:val="none"/>
              </w:rPr>
            </w:pPr>
            <w:r>
              <w:rPr>
                <w:rFonts w:ascii="Calibri" w:hAnsi="Calibri" w:eastAsia="Times New Roman" w:cs="Calibri"/>
                <w:b/>
                <w:bCs/>
                <w:i/>
                <w:iCs/>
                <w:kern w:val="0"/>
                <w:sz w:val="22"/>
                <w:szCs w:val="22"/>
                <w:lang w:eastAsia="hr-HR"/>
                <w14:ligatures w14:val="none"/>
              </w:rPr>
              <w:t>Naziv priloga</w:t>
            </w:r>
          </w:p>
        </w:tc>
      </w:tr>
      <w:tr w14:paraId="70EDB509">
        <w:tblPrEx>
          <w:tblCellMar>
            <w:top w:w="0" w:type="dxa"/>
            <w:left w:w="108" w:type="dxa"/>
            <w:bottom w:w="0" w:type="dxa"/>
            <w:right w:w="108" w:type="dxa"/>
          </w:tblCellMar>
        </w:tblPrEx>
        <w:tc>
          <w:tcPr>
            <w:tcW w:w="1231" w:type="dxa"/>
            <w:tcBorders>
              <w:right w:val="single" w:color="7F7F7F" w:sz="4" w:space="0"/>
              <w:insideV w:val="single" w:sz="4" w:space="0"/>
            </w:tcBorders>
            <w:shd w:val="clear" w:color="auto" w:fill="FFFFFF"/>
          </w:tcPr>
          <w:p w14:paraId="7DCC2FF5">
            <w:pPr>
              <w:spacing w:after="0" w:line="240" w:lineRule="auto"/>
              <w:jc w:val="right"/>
              <w:rPr>
                <w:rFonts w:ascii="Calibri" w:hAnsi="Calibri" w:eastAsia="Times New Roman" w:cs="Calibri"/>
                <w:i/>
                <w:iCs/>
                <w:kern w:val="0"/>
                <w:sz w:val="22"/>
                <w:szCs w:val="22"/>
                <w:lang w:eastAsia="hr-HR"/>
                <w14:ligatures w14:val="none"/>
              </w:rPr>
            </w:pPr>
            <w:r>
              <w:rPr>
                <w:rFonts w:ascii="Calibri" w:hAnsi="Calibri" w:eastAsia="Times New Roman" w:cs="Calibri"/>
                <w:i/>
                <w:iCs/>
                <w:kern w:val="0"/>
                <w:sz w:val="22"/>
                <w:szCs w:val="22"/>
                <w:lang w:eastAsia="hr-HR"/>
                <w14:ligatures w14:val="none"/>
              </w:rPr>
              <w:t>Prilog 1.</w:t>
            </w:r>
          </w:p>
        </w:tc>
        <w:tc>
          <w:tcPr>
            <w:tcW w:w="0" w:type="auto"/>
            <w:shd w:val="clear" w:color="auto" w:fill="F2F2F2"/>
          </w:tcPr>
          <w:p w14:paraId="1D58C0EB">
            <w:pPr>
              <w:spacing w:after="0" w:line="240" w:lineRule="auto"/>
              <w:rPr>
                <w:rFonts w:ascii="Calibri" w:hAnsi="Calibri" w:eastAsia="Calibri" w:cs="Calibri"/>
                <w:kern w:val="0"/>
                <w:sz w:val="22"/>
                <w:szCs w:val="22"/>
                <w:lang w:eastAsia="hr-HR"/>
                <w14:ligatures w14:val="none"/>
              </w:rPr>
            </w:pPr>
            <w:r>
              <w:rPr>
                <w:rFonts w:ascii="Calibri" w:hAnsi="Calibri" w:eastAsia="Calibri" w:cs="Calibri"/>
                <w:kern w:val="0"/>
                <w:sz w:val="22"/>
                <w:szCs w:val="22"/>
                <w:lang w:eastAsia="hr-HR"/>
                <w14:ligatures w14:val="none"/>
              </w:rPr>
              <w:t>Kriteriji za utvrđivanje trajanja godišnjeg odmora</w:t>
            </w:r>
          </w:p>
        </w:tc>
      </w:tr>
      <w:tr w14:paraId="75B67527">
        <w:tblPrEx>
          <w:tblCellMar>
            <w:top w:w="0" w:type="dxa"/>
            <w:left w:w="108" w:type="dxa"/>
            <w:bottom w:w="0" w:type="dxa"/>
            <w:right w:w="108" w:type="dxa"/>
          </w:tblCellMar>
        </w:tblPrEx>
        <w:tc>
          <w:tcPr>
            <w:tcW w:w="1231" w:type="dxa"/>
            <w:tcBorders>
              <w:right w:val="single" w:color="7F7F7F" w:sz="4" w:space="0"/>
              <w:insideV w:val="single" w:sz="4" w:space="0"/>
            </w:tcBorders>
            <w:shd w:val="clear" w:color="auto" w:fill="FFFFFF"/>
          </w:tcPr>
          <w:p w14:paraId="6A4706EA">
            <w:pPr>
              <w:spacing w:after="0" w:line="240" w:lineRule="auto"/>
              <w:jc w:val="right"/>
              <w:rPr>
                <w:rFonts w:ascii="Calibri" w:hAnsi="Calibri" w:eastAsia="Times New Roman" w:cs="Calibri"/>
                <w:i/>
                <w:iCs/>
                <w:kern w:val="0"/>
                <w:sz w:val="22"/>
                <w:szCs w:val="22"/>
                <w:lang w:eastAsia="hr-HR"/>
                <w14:ligatures w14:val="none"/>
              </w:rPr>
            </w:pPr>
            <w:r>
              <w:rPr>
                <w:rFonts w:ascii="Calibri" w:hAnsi="Calibri" w:eastAsia="Times New Roman" w:cs="Calibri"/>
                <w:i/>
                <w:iCs/>
                <w:kern w:val="0"/>
                <w:sz w:val="22"/>
                <w:szCs w:val="22"/>
                <w:lang w:eastAsia="hr-HR"/>
                <w14:ligatures w14:val="none"/>
              </w:rPr>
              <w:t>Prilog 2.</w:t>
            </w:r>
          </w:p>
        </w:tc>
        <w:tc>
          <w:tcPr>
            <w:tcW w:w="0" w:type="auto"/>
          </w:tcPr>
          <w:p w14:paraId="41E12788">
            <w:pPr>
              <w:spacing w:after="0" w:line="240" w:lineRule="auto"/>
              <w:rPr>
                <w:rFonts w:ascii="Calibri" w:hAnsi="Calibri" w:eastAsia="Calibri" w:cs="Calibri"/>
                <w:kern w:val="0"/>
                <w:sz w:val="22"/>
                <w:szCs w:val="22"/>
                <w:lang w:eastAsia="hr-HR"/>
                <w14:ligatures w14:val="none"/>
              </w:rPr>
            </w:pPr>
            <w:r>
              <w:rPr>
                <w:rFonts w:ascii="Calibri" w:hAnsi="Calibri" w:eastAsia="Calibri" w:cs="Calibri"/>
                <w:kern w:val="0"/>
                <w:sz w:val="22"/>
                <w:szCs w:val="22"/>
                <w:lang w:eastAsia="hr-HR"/>
                <w14:ligatures w14:val="none"/>
              </w:rPr>
              <w:t>Zapisnik o primopredaji poslova i Kontrolna lista za prestanak radnog odnosa</w:t>
            </w:r>
          </w:p>
        </w:tc>
      </w:tr>
      <w:tr w14:paraId="6CE0AB20">
        <w:tblPrEx>
          <w:tblCellMar>
            <w:top w:w="0" w:type="dxa"/>
            <w:left w:w="108" w:type="dxa"/>
            <w:bottom w:w="0" w:type="dxa"/>
            <w:right w:w="108" w:type="dxa"/>
          </w:tblCellMar>
        </w:tblPrEx>
        <w:tc>
          <w:tcPr>
            <w:tcW w:w="1231" w:type="dxa"/>
            <w:tcBorders>
              <w:right w:val="single" w:color="7F7F7F" w:sz="4" w:space="0"/>
              <w:insideV w:val="single" w:sz="4" w:space="0"/>
            </w:tcBorders>
            <w:shd w:val="clear" w:color="auto" w:fill="FFFFFF"/>
          </w:tcPr>
          <w:p w14:paraId="73B956D2">
            <w:pPr>
              <w:spacing w:after="0" w:line="240" w:lineRule="auto"/>
              <w:jc w:val="right"/>
              <w:rPr>
                <w:rFonts w:ascii="Calibri" w:hAnsi="Calibri" w:eastAsia="Times New Roman" w:cs="Calibri"/>
                <w:i/>
                <w:iCs/>
                <w:kern w:val="0"/>
                <w:sz w:val="22"/>
                <w:szCs w:val="22"/>
                <w:lang w:eastAsia="hr-HR"/>
                <w14:ligatures w14:val="none"/>
              </w:rPr>
            </w:pPr>
            <w:r>
              <w:rPr>
                <w:rFonts w:ascii="Calibri" w:hAnsi="Calibri" w:eastAsia="Times New Roman" w:cs="Calibri"/>
                <w:i/>
                <w:iCs/>
                <w:kern w:val="0"/>
                <w:sz w:val="22"/>
                <w:szCs w:val="22"/>
                <w:lang w:eastAsia="hr-HR"/>
                <w14:ligatures w14:val="none"/>
              </w:rPr>
              <w:t>Prilog 3.</w:t>
            </w:r>
          </w:p>
        </w:tc>
        <w:tc>
          <w:tcPr>
            <w:tcW w:w="0" w:type="auto"/>
            <w:shd w:val="clear" w:color="auto" w:fill="F2F2F2"/>
          </w:tcPr>
          <w:p w14:paraId="2844A7A8">
            <w:pPr>
              <w:spacing w:after="0" w:line="240" w:lineRule="auto"/>
              <w:rPr>
                <w:rFonts w:ascii="Calibri" w:hAnsi="Calibri" w:eastAsia="Calibri" w:cs="Calibri"/>
                <w:kern w:val="0"/>
                <w:sz w:val="22"/>
                <w:szCs w:val="22"/>
                <w:lang w:eastAsia="hr-HR"/>
                <w14:ligatures w14:val="none"/>
              </w:rPr>
            </w:pPr>
            <w:r>
              <w:rPr>
                <w:rFonts w:ascii="Calibri" w:hAnsi="Calibri" w:eastAsia="Calibri" w:cs="Calibri"/>
                <w:kern w:val="0"/>
                <w:sz w:val="22"/>
                <w:szCs w:val="22"/>
                <w:lang w:eastAsia="hr-HR"/>
                <w14:ligatures w14:val="none"/>
              </w:rPr>
              <w:t>Zahtjev za korištenje godišnjeg odmora</w:t>
            </w:r>
          </w:p>
        </w:tc>
      </w:tr>
      <w:tr w14:paraId="677FBAB5">
        <w:tblPrEx>
          <w:tblCellMar>
            <w:top w:w="0" w:type="dxa"/>
            <w:left w:w="108" w:type="dxa"/>
            <w:bottom w:w="0" w:type="dxa"/>
            <w:right w:w="108" w:type="dxa"/>
          </w:tblCellMar>
        </w:tblPrEx>
        <w:tc>
          <w:tcPr>
            <w:tcW w:w="1231" w:type="dxa"/>
            <w:tcBorders>
              <w:right w:val="single" w:color="7F7F7F" w:sz="4" w:space="0"/>
              <w:insideV w:val="single" w:sz="4" w:space="0"/>
            </w:tcBorders>
            <w:shd w:val="clear" w:color="auto" w:fill="FFFFFF"/>
          </w:tcPr>
          <w:p w14:paraId="0211D554">
            <w:pPr>
              <w:spacing w:after="0" w:line="240" w:lineRule="auto"/>
              <w:jc w:val="right"/>
              <w:rPr>
                <w:rFonts w:ascii="Calibri" w:hAnsi="Calibri" w:eastAsia="Times New Roman" w:cs="Calibri"/>
                <w:i/>
                <w:iCs/>
                <w:kern w:val="0"/>
                <w:sz w:val="22"/>
                <w:szCs w:val="22"/>
                <w:lang w:eastAsia="hr-HR"/>
                <w14:ligatures w14:val="none"/>
              </w:rPr>
            </w:pPr>
            <w:r>
              <w:rPr>
                <w:rFonts w:ascii="Calibri" w:hAnsi="Calibri" w:eastAsia="Times New Roman" w:cs="Calibri"/>
                <w:i/>
                <w:iCs/>
                <w:kern w:val="0"/>
                <w:sz w:val="22"/>
                <w:szCs w:val="22"/>
                <w:lang w:eastAsia="hr-HR"/>
                <w14:ligatures w14:val="none"/>
              </w:rPr>
              <w:t>Prilog 4.</w:t>
            </w:r>
          </w:p>
        </w:tc>
        <w:tc>
          <w:tcPr>
            <w:tcW w:w="0" w:type="auto"/>
          </w:tcPr>
          <w:p w14:paraId="01319DCF">
            <w:pPr>
              <w:spacing w:after="0" w:line="240" w:lineRule="auto"/>
              <w:rPr>
                <w:rFonts w:ascii="Calibri" w:hAnsi="Calibri" w:eastAsia="Calibri" w:cs="Calibri"/>
                <w:kern w:val="0"/>
                <w:sz w:val="22"/>
                <w:szCs w:val="22"/>
                <w:lang w:eastAsia="hr-HR"/>
                <w14:ligatures w14:val="none"/>
              </w:rPr>
            </w:pPr>
            <w:r>
              <w:rPr>
                <w:rFonts w:ascii="Calibri" w:hAnsi="Calibri" w:eastAsia="Calibri" w:cs="Calibri"/>
                <w:kern w:val="0"/>
                <w:sz w:val="22"/>
                <w:szCs w:val="22"/>
                <w:lang w:eastAsia="hr-HR"/>
                <w14:ligatures w14:val="none"/>
              </w:rPr>
              <w:t>Zahtjev za korištenje plaćenog dopusta</w:t>
            </w:r>
          </w:p>
        </w:tc>
      </w:tr>
      <w:tr w14:paraId="6BAD48BF">
        <w:tblPrEx>
          <w:tblCellMar>
            <w:top w:w="0" w:type="dxa"/>
            <w:left w:w="108" w:type="dxa"/>
            <w:bottom w:w="0" w:type="dxa"/>
            <w:right w:w="108" w:type="dxa"/>
          </w:tblCellMar>
        </w:tblPrEx>
        <w:tc>
          <w:tcPr>
            <w:tcW w:w="1231" w:type="dxa"/>
            <w:tcBorders>
              <w:right w:val="single" w:color="7F7F7F" w:sz="4" w:space="0"/>
              <w:insideV w:val="single" w:sz="4" w:space="0"/>
            </w:tcBorders>
            <w:shd w:val="clear" w:color="auto" w:fill="FFFFFF"/>
          </w:tcPr>
          <w:p w14:paraId="2A2A9E8C">
            <w:pPr>
              <w:spacing w:after="0" w:line="240" w:lineRule="auto"/>
              <w:jc w:val="right"/>
              <w:rPr>
                <w:rFonts w:ascii="Calibri" w:hAnsi="Calibri" w:eastAsia="Times New Roman" w:cs="Calibri"/>
                <w:i/>
                <w:iCs/>
                <w:kern w:val="0"/>
                <w:sz w:val="22"/>
                <w:szCs w:val="22"/>
                <w:lang w:eastAsia="hr-HR"/>
                <w14:ligatures w14:val="none"/>
              </w:rPr>
            </w:pPr>
            <w:r>
              <w:rPr>
                <w:rFonts w:ascii="Calibri" w:hAnsi="Calibri" w:eastAsia="Times New Roman" w:cs="Calibri"/>
                <w:i/>
                <w:iCs/>
                <w:kern w:val="0"/>
                <w:sz w:val="22"/>
                <w:szCs w:val="22"/>
                <w:lang w:eastAsia="hr-HR"/>
                <w14:ligatures w14:val="none"/>
              </w:rPr>
              <w:t>Prilog 5.</w:t>
            </w:r>
          </w:p>
        </w:tc>
        <w:tc>
          <w:tcPr>
            <w:tcW w:w="0" w:type="auto"/>
            <w:shd w:val="clear" w:color="auto" w:fill="F2F2F2"/>
          </w:tcPr>
          <w:p w14:paraId="40111DB4">
            <w:pPr>
              <w:spacing w:after="0" w:line="240" w:lineRule="auto"/>
              <w:rPr>
                <w:rFonts w:ascii="Calibri" w:hAnsi="Calibri" w:eastAsia="Calibri" w:cs="Calibri"/>
                <w:kern w:val="0"/>
                <w:sz w:val="22"/>
                <w:szCs w:val="22"/>
                <w:lang w:eastAsia="hr-HR"/>
                <w14:ligatures w14:val="none"/>
              </w:rPr>
            </w:pPr>
            <w:r>
              <w:rPr>
                <w:rFonts w:ascii="Calibri" w:hAnsi="Calibri" w:eastAsia="Calibri" w:cs="Calibri"/>
                <w:kern w:val="0"/>
                <w:sz w:val="22"/>
                <w:szCs w:val="22"/>
                <w:lang w:eastAsia="hr-HR"/>
                <w14:ligatures w14:val="none"/>
              </w:rPr>
              <w:t>Zahtjev za korištenje neplaćenog dopusta</w:t>
            </w:r>
          </w:p>
        </w:tc>
      </w:tr>
      <w:tr w14:paraId="4FC36BD9">
        <w:tblPrEx>
          <w:tblCellMar>
            <w:top w:w="0" w:type="dxa"/>
            <w:left w:w="108" w:type="dxa"/>
            <w:bottom w:w="0" w:type="dxa"/>
            <w:right w:w="108" w:type="dxa"/>
          </w:tblCellMar>
        </w:tblPrEx>
        <w:tc>
          <w:tcPr>
            <w:tcW w:w="1231" w:type="dxa"/>
            <w:tcBorders>
              <w:right w:val="single" w:color="7F7F7F" w:sz="4" w:space="0"/>
              <w:insideV w:val="single" w:sz="4" w:space="0"/>
            </w:tcBorders>
            <w:shd w:val="clear" w:color="auto" w:fill="FFFFFF"/>
          </w:tcPr>
          <w:p w14:paraId="71CCB6BA">
            <w:pPr>
              <w:spacing w:after="0" w:line="240" w:lineRule="auto"/>
              <w:jc w:val="right"/>
              <w:rPr>
                <w:rFonts w:ascii="Calibri" w:hAnsi="Calibri" w:eastAsia="Times New Roman" w:cs="Calibri"/>
                <w:i/>
                <w:iCs/>
                <w:kern w:val="0"/>
                <w:sz w:val="22"/>
                <w:szCs w:val="22"/>
                <w:lang w:eastAsia="hr-HR"/>
                <w14:ligatures w14:val="none"/>
              </w:rPr>
            </w:pPr>
            <w:r>
              <w:rPr>
                <w:rFonts w:ascii="Calibri" w:hAnsi="Calibri" w:eastAsia="Times New Roman" w:cs="Calibri"/>
                <w:i/>
                <w:iCs/>
                <w:kern w:val="0"/>
                <w:sz w:val="22"/>
                <w:szCs w:val="22"/>
                <w:lang w:eastAsia="hr-HR"/>
                <w14:ligatures w14:val="none"/>
              </w:rPr>
              <w:t>Prilog 6.</w:t>
            </w:r>
          </w:p>
        </w:tc>
        <w:tc>
          <w:tcPr>
            <w:tcW w:w="0" w:type="auto"/>
          </w:tcPr>
          <w:p w14:paraId="558AFAC6">
            <w:pPr>
              <w:spacing w:after="0" w:line="240" w:lineRule="auto"/>
              <w:rPr>
                <w:rFonts w:ascii="Calibri" w:hAnsi="Calibri" w:eastAsia="Calibri" w:cs="Calibri"/>
                <w:kern w:val="0"/>
                <w:sz w:val="22"/>
                <w:szCs w:val="22"/>
                <w:lang w:eastAsia="hr-HR"/>
                <w14:ligatures w14:val="none"/>
              </w:rPr>
            </w:pPr>
            <w:r>
              <w:rPr>
                <w:rFonts w:ascii="Calibri" w:hAnsi="Calibri" w:eastAsia="Calibri" w:cs="Calibri"/>
                <w:kern w:val="0"/>
                <w:sz w:val="22"/>
                <w:szCs w:val="22"/>
                <w:lang w:eastAsia="hr-HR"/>
                <w14:ligatures w14:val="none"/>
              </w:rPr>
              <w:t>Evidencija upoznavanja radnika s općim aktima</w:t>
            </w:r>
          </w:p>
        </w:tc>
      </w:tr>
      <w:tr w14:paraId="08D2D0CB">
        <w:tblPrEx>
          <w:tblCellMar>
            <w:top w:w="0" w:type="dxa"/>
            <w:left w:w="108" w:type="dxa"/>
            <w:bottom w:w="0" w:type="dxa"/>
            <w:right w:w="108" w:type="dxa"/>
          </w:tblCellMar>
        </w:tblPrEx>
        <w:tc>
          <w:tcPr>
            <w:tcW w:w="1231" w:type="dxa"/>
            <w:tcBorders>
              <w:right w:val="single" w:color="7F7F7F" w:sz="4" w:space="0"/>
              <w:insideV w:val="single" w:sz="4" w:space="0"/>
            </w:tcBorders>
            <w:shd w:val="clear" w:color="auto" w:fill="FFFFFF"/>
          </w:tcPr>
          <w:p w14:paraId="170D4F95">
            <w:pPr>
              <w:spacing w:after="0" w:line="240" w:lineRule="auto"/>
              <w:jc w:val="right"/>
              <w:rPr>
                <w:rFonts w:ascii="Calibri" w:hAnsi="Calibri" w:eastAsia="Times New Roman" w:cs="Calibri"/>
                <w:i/>
                <w:iCs/>
                <w:kern w:val="0"/>
                <w:sz w:val="22"/>
                <w:szCs w:val="22"/>
                <w:lang w:eastAsia="hr-HR"/>
                <w14:ligatures w14:val="none"/>
              </w:rPr>
            </w:pPr>
            <w:r>
              <w:rPr>
                <w:rFonts w:ascii="Calibri" w:hAnsi="Calibri" w:eastAsia="Times New Roman" w:cs="Calibri"/>
                <w:i/>
                <w:iCs/>
                <w:kern w:val="0"/>
                <w:sz w:val="22"/>
                <w:szCs w:val="22"/>
                <w:lang w:eastAsia="hr-HR"/>
                <w14:ligatures w14:val="none"/>
              </w:rPr>
              <w:t>Prilog 7.</w:t>
            </w:r>
          </w:p>
        </w:tc>
        <w:tc>
          <w:tcPr>
            <w:tcW w:w="0" w:type="auto"/>
            <w:shd w:val="clear" w:color="auto" w:fill="F2F2F2"/>
          </w:tcPr>
          <w:p w14:paraId="74B2C23F">
            <w:pPr>
              <w:spacing w:after="0" w:line="240" w:lineRule="auto"/>
              <w:rPr>
                <w:rFonts w:ascii="Calibri" w:hAnsi="Calibri" w:eastAsia="Calibri" w:cs="Calibri"/>
                <w:kern w:val="0"/>
                <w:sz w:val="22"/>
                <w:szCs w:val="22"/>
                <w:lang w:eastAsia="hr-HR"/>
                <w14:ligatures w14:val="none"/>
              </w:rPr>
            </w:pPr>
            <w:r>
              <w:rPr>
                <w:rFonts w:ascii="Calibri" w:hAnsi="Calibri" w:eastAsia="Calibri" w:cs="Calibri"/>
                <w:kern w:val="0"/>
                <w:sz w:val="22"/>
                <w:szCs w:val="22"/>
                <w:lang w:eastAsia="hr-HR"/>
                <w14:ligatures w14:val="none"/>
              </w:rPr>
              <w:t>Evidencija zaduženja službene opreme i imovine</w:t>
            </w:r>
          </w:p>
        </w:tc>
      </w:tr>
      <w:tr w14:paraId="1C48D3E1">
        <w:tblPrEx>
          <w:tblCellMar>
            <w:top w:w="0" w:type="dxa"/>
            <w:left w:w="108" w:type="dxa"/>
            <w:bottom w:w="0" w:type="dxa"/>
            <w:right w:w="108" w:type="dxa"/>
          </w:tblCellMar>
        </w:tblPrEx>
        <w:tc>
          <w:tcPr>
            <w:tcW w:w="1231" w:type="dxa"/>
            <w:tcBorders>
              <w:right w:val="single" w:color="7F7F7F" w:sz="4" w:space="0"/>
              <w:insideV w:val="single" w:sz="4" w:space="0"/>
            </w:tcBorders>
            <w:shd w:val="clear" w:color="auto" w:fill="FFFFFF"/>
          </w:tcPr>
          <w:p w14:paraId="1AA0B06C">
            <w:pPr>
              <w:spacing w:after="0" w:line="240" w:lineRule="auto"/>
              <w:jc w:val="right"/>
              <w:rPr>
                <w:rFonts w:ascii="Calibri" w:hAnsi="Calibri" w:eastAsia="Times New Roman" w:cs="Calibri"/>
                <w:i/>
                <w:iCs/>
                <w:kern w:val="0"/>
                <w:sz w:val="22"/>
                <w:szCs w:val="22"/>
                <w:lang w:eastAsia="hr-HR"/>
                <w14:ligatures w14:val="none"/>
              </w:rPr>
            </w:pPr>
            <w:r>
              <w:rPr>
                <w:rFonts w:ascii="Calibri" w:hAnsi="Calibri" w:eastAsia="Times New Roman" w:cs="Calibri"/>
                <w:i/>
                <w:iCs/>
                <w:kern w:val="0"/>
                <w:sz w:val="22"/>
                <w:szCs w:val="22"/>
                <w:lang w:eastAsia="hr-HR"/>
                <w14:ligatures w14:val="none"/>
              </w:rPr>
              <w:t>Prilog 8.</w:t>
            </w:r>
          </w:p>
        </w:tc>
        <w:tc>
          <w:tcPr>
            <w:tcW w:w="0" w:type="auto"/>
          </w:tcPr>
          <w:p w14:paraId="219CED50">
            <w:pPr>
              <w:spacing w:after="0" w:line="240" w:lineRule="auto"/>
              <w:rPr>
                <w:rFonts w:ascii="Calibri" w:hAnsi="Calibri" w:eastAsia="Calibri" w:cs="Calibri"/>
                <w:kern w:val="0"/>
                <w:sz w:val="22"/>
                <w:szCs w:val="22"/>
                <w:lang w:eastAsia="hr-HR"/>
                <w14:ligatures w14:val="none"/>
              </w:rPr>
            </w:pPr>
            <w:r>
              <w:rPr>
                <w:rFonts w:ascii="Calibri" w:hAnsi="Calibri" w:eastAsia="Calibri" w:cs="Calibri"/>
                <w:kern w:val="0"/>
                <w:sz w:val="22"/>
                <w:szCs w:val="22"/>
                <w:lang w:eastAsia="hr-HR"/>
                <w14:ligatures w14:val="none"/>
              </w:rPr>
              <w:t>Obrazac za prijavu povrede dostojanstva radnika</w:t>
            </w:r>
          </w:p>
        </w:tc>
      </w:tr>
      <w:tr w14:paraId="1CEE3748">
        <w:tblPrEx>
          <w:tblCellMar>
            <w:top w:w="0" w:type="dxa"/>
            <w:left w:w="108" w:type="dxa"/>
            <w:bottom w:w="0" w:type="dxa"/>
            <w:right w:w="108" w:type="dxa"/>
          </w:tblCellMar>
        </w:tblPrEx>
        <w:tc>
          <w:tcPr>
            <w:tcW w:w="1231" w:type="dxa"/>
            <w:tcBorders>
              <w:right w:val="single" w:color="7F7F7F" w:sz="4" w:space="0"/>
              <w:insideV w:val="single" w:sz="4" w:space="0"/>
            </w:tcBorders>
            <w:shd w:val="clear" w:color="auto" w:fill="FFFFFF"/>
          </w:tcPr>
          <w:p w14:paraId="30F532F5">
            <w:pPr>
              <w:spacing w:after="0" w:line="240" w:lineRule="auto"/>
              <w:jc w:val="right"/>
              <w:rPr>
                <w:rFonts w:ascii="Calibri" w:hAnsi="Calibri" w:eastAsia="Times New Roman" w:cs="Calibri"/>
                <w:i/>
                <w:iCs/>
                <w:kern w:val="0"/>
                <w:sz w:val="22"/>
                <w:szCs w:val="22"/>
                <w:lang w:eastAsia="hr-HR"/>
                <w14:ligatures w14:val="none"/>
              </w:rPr>
            </w:pPr>
            <w:r>
              <w:rPr>
                <w:rFonts w:ascii="Calibri" w:hAnsi="Calibri" w:eastAsia="Times New Roman" w:cs="Calibri"/>
                <w:i/>
                <w:iCs/>
                <w:kern w:val="0"/>
                <w:sz w:val="22"/>
                <w:szCs w:val="22"/>
                <w:lang w:eastAsia="hr-HR"/>
                <w14:ligatures w14:val="none"/>
              </w:rPr>
              <w:t>Prilog 9.</w:t>
            </w:r>
          </w:p>
        </w:tc>
        <w:tc>
          <w:tcPr>
            <w:tcW w:w="0" w:type="auto"/>
            <w:shd w:val="clear" w:color="auto" w:fill="F2F2F2"/>
          </w:tcPr>
          <w:p w14:paraId="49B0C123">
            <w:pPr>
              <w:spacing w:after="0" w:line="240" w:lineRule="auto"/>
              <w:rPr>
                <w:rFonts w:ascii="Calibri" w:hAnsi="Calibri" w:eastAsia="Calibri" w:cs="Calibri"/>
                <w:kern w:val="0"/>
                <w:sz w:val="22"/>
                <w:szCs w:val="22"/>
                <w:lang w:eastAsia="hr-HR"/>
                <w14:ligatures w14:val="none"/>
              </w:rPr>
            </w:pPr>
            <w:r>
              <w:rPr>
                <w:rFonts w:ascii="Calibri" w:hAnsi="Calibri" w:eastAsia="Calibri" w:cs="Calibri"/>
                <w:kern w:val="0"/>
                <w:sz w:val="22"/>
                <w:szCs w:val="22"/>
                <w:lang w:eastAsia="hr-HR"/>
                <w14:ligatures w14:val="none"/>
              </w:rPr>
              <w:t>Evidencija stručnog usavršavanja radnika</w:t>
            </w:r>
          </w:p>
        </w:tc>
      </w:tr>
    </w:tbl>
    <w:p w14:paraId="79CB7748">
      <w:pPr>
        <w:pStyle w:val="20"/>
      </w:pPr>
      <w:r>
        <w:t>Prilozi iz stavka 1. ovoga članka primjenjuju se zajedno s odredbama ovoga Pravilnika te imaju istu pravnu snagu kao i njegove odredbe.</w:t>
      </w:r>
    </w:p>
    <w:p w14:paraId="18906C0A">
      <w:pPr>
        <w:pStyle w:val="22"/>
      </w:pPr>
      <w:r>
        <w:t>Stupanje na snagu</w:t>
      </w:r>
    </w:p>
    <w:p w14:paraId="28C893CA">
      <w:pPr>
        <w:pStyle w:val="20"/>
      </w:pPr>
      <w:r>
        <w:t>Ovaj Pravilnik stupa na snagu danom donošenja, a objavljuje se na oglasnoj ploči i mrežnoj stranici Dječjeg vrtića „Magnolija“.</w:t>
      </w:r>
    </w:p>
    <w:p w14:paraId="3AB7E997">
      <w:pPr>
        <w:spacing w:line="276" w:lineRule="auto"/>
        <w:jc w:val="both"/>
        <w:rPr>
          <w:rFonts w:ascii="Calibri" w:hAnsi="Calibri" w:eastAsia="Times New Roman" w:cs="Calibri"/>
          <w:kern w:val="0"/>
          <w:sz w:val="24"/>
          <w:szCs w:val="24"/>
          <w:lang w:eastAsia="hr-HR"/>
          <w14:ligatures w14:val="none"/>
        </w:rPr>
      </w:pPr>
    </w:p>
    <w:p w14:paraId="40332867">
      <w:pPr>
        <w:spacing w:line="276" w:lineRule="auto"/>
        <w:jc w:val="both"/>
        <w:rPr>
          <w:rFonts w:ascii="Calibri" w:hAnsi="Calibri" w:eastAsia="Times New Roman" w:cs="Calibri"/>
          <w:kern w:val="0"/>
          <w:sz w:val="24"/>
          <w:szCs w:val="24"/>
          <w:lang w:eastAsia="hr-HR"/>
          <w14:ligatures w14:val="none"/>
        </w:rPr>
      </w:pPr>
    </w:p>
    <w:p w14:paraId="765E7244">
      <w:pPr>
        <w:spacing w:after="0" w:line="276" w:lineRule="auto"/>
        <w:rPr>
          <w:rFonts w:hint="default" w:eastAsia="Times New Roman" w:cstheme="minorHAnsi"/>
          <w:sz w:val="24"/>
          <w:szCs w:val="24"/>
          <w:lang w:val="en-US" w:eastAsia="hr-HR"/>
        </w:rPr>
      </w:pPr>
      <w:r>
        <w:rPr>
          <w:rFonts w:eastAsia="Times New Roman" w:cstheme="minorHAnsi"/>
          <w:sz w:val="24"/>
          <w:szCs w:val="24"/>
          <w:lang w:eastAsia="hr-HR"/>
        </w:rPr>
        <w:t>KLASA:</w:t>
      </w:r>
      <w:r>
        <w:rPr>
          <w:rFonts w:hint="default" w:eastAsia="Times New Roman" w:cstheme="minorHAnsi"/>
          <w:sz w:val="24"/>
          <w:szCs w:val="24"/>
          <w:lang w:val="en-US" w:eastAsia="hr-HR"/>
        </w:rPr>
        <w:t xml:space="preserve"> </w:t>
      </w:r>
      <w:r>
        <w:rPr>
          <w:rFonts w:ascii="SimSun" w:hAnsi="SimSun" w:eastAsia="SimSun" w:cs="SimSun"/>
          <w:sz w:val="24"/>
          <w:szCs w:val="24"/>
        </w:rPr>
        <w:t>601-01/26-02/04</w:t>
      </w:r>
    </w:p>
    <w:p w14:paraId="205288C6">
      <w:pPr>
        <w:spacing w:after="0" w:line="276" w:lineRule="auto"/>
        <w:rPr>
          <w:rFonts w:eastAsia="Times New Roman" w:cstheme="minorHAnsi"/>
          <w:sz w:val="24"/>
          <w:szCs w:val="24"/>
          <w:lang w:eastAsia="hr-HR"/>
        </w:rPr>
      </w:pPr>
      <w:r>
        <w:rPr>
          <w:rFonts w:eastAsia="Times New Roman" w:cstheme="minorHAnsi"/>
          <w:sz w:val="24"/>
          <w:szCs w:val="24"/>
          <w:lang w:eastAsia="hr-HR"/>
        </w:rPr>
        <w:t xml:space="preserve">URBROJ: </w:t>
      </w:r>
      <w:r>
        <w:rPr>
          <w:rFonts w:ascii="SimSun" w:hAnsi="SimSun" w:eastAsia="SimSun" w:cs="SimSun"/>
          <w:sz w:val="24"/>
          <w:szCs w:val="24"/>
        </w:rPr>
        <w:t>2109-26-1-02-26-1</w:t>
      </w:r>
    </w:p>
    <w:p w14:paraId="1955E754">
      <w:pPr>
        <w:spacing w:after="0" w:line="276" w:lineRule="auto"/>
        <w:rPr>
          <w:rFonts w:eastAsia="Times New Roman" w:cstheme="minorHAnsi"/>
          <w:sz w:val="24"/>
          <w:szCs w:val="24"/>
          <w:lang w:eastAsia="hr-HR"/>
        </w:rPr>
      </w:pPr>
      <w:r>
        <w:rPr>
          <w:rFonts w:eastAsia="Times New Roman" w:cstheme="minorHAnsi"/>
          <w:sz w:val="24"/>
          <w:szCs w:val="24"/>
          <w:lang w:eastAsia="hr-HR"/>
        </w:rPr>
        <w:t>Pribislavec, 23. srpnja 2026. godine</w:t>
      </w:r>
      <w:bookmarkStart w:id="0" w:name="_GoBack"/>
      <w:bookmarkEnd w:id="0"/>
    </w:p>
    <w:p w14:paraId="3E8C023F">
      <w:pPr>
        <w:spacing w:before="100" w:beforeAutospacing="1" w:after="100" w:afterAutospacing="1"/>
        <w:jc w:val="right"/>
        <w:rPr>
          <w:rFonts w:ascii="Calibri" w:hAnsi="Calibri" w:eastAsia="Calibri" w:cs="Calibri"/>
          <w:b/>
          <w:bCs/>
          <w:sz w:val="24"/>
          <w:szCs w:val="24"/>
        </w:rPr>
      </w:pPr>
    </w:p>
    <w:p w14:paraId="0F983B5D">
      <w:pPr>
        <w:spacing w:before="100" w:beforeAutospacing="1" w:after="100" w:afterAutospacing="1"/>
        <w:jc w:val="right"/>
        <w:rPr>
          <w:rFonts w:ascii="Calibri" w:hAnsi="Calibri" w:eastAsia="Calibri" w:cs="Calibri"/>
          <w:sz w:val="24"/>
          <w:szCs w:val="24"/>
        </w:rPr>
      </w:pPr>
      <w:r>
        <w:rPr>
          <w:rFonts w:ascii="Calibri" w:hAnsi="Calibri" w:eastAsia="Calibri" w:cs="Calibri"/>
          <w:b/>
          <w:bCs/>
          <w:sz w:val="24"/>
          <w:szCs w:val="24"/>
        </w:rPr>
        <w:t>PREDSJEDNICA UPRAVNOG VIJEĆA</w:t>
      </w:r>
      <w:r>
        <w:rPr>
          <w:rFonts w:ascii="Calibri" w:hAnsi="Calibri" w:eastAsia="Calibri" w:cs="Calibri"/>
          <w:sz w:val="24"/>
          <w:szCs w:val="24"/>
        </w:rPr>
        <w:t xml:space="preserve"> </w:t>
      </w:r>
      <w:r>
        <w:rPr>
          <w:rFonts w:ascii="Calibri" w:hAnsi="Calibri" w:cs="Calibri"/>
          <w:sz w:val="24"/>
          <w:szCs w:val="24"/>
        </w:rPr>
        <w:br w:type="textWrapping"/>
      </w:r>
      <w:r>
        <w:rPr>
          <w:rFonts w:ascii="Calibri" w:hAnsi="Calibri" w:eastAsia="Calibri" w:cs="Calibri"/>
          <w:sz w:val="24"/>
          <w:szCs w:val="24"/>
        </w:rPr>
        <w:t>Dječjeg vrtića „Magnolija“</w:t>
      </w:r>
    </w:p>
    <w:p w14:paraId="5E2A1AF3">
      <w:pPr>
        <w:spacing w:before="100" w:beforeAutospacing="1" w:after="100" w:afterAutospacing="1"/>
        <w:jc w:val="right"/>
        <w:rPr>
          <w:rFonts w:ascii="Calibri" w:hAnsi="Calibri" w:eastAsia="Calibri" w:cs="Calibri"/>
          <w:sz w:val="24"/>
          <w:szCs w:val="24"/>
        </w:rPr>
      </w:pPr>
      <w:r>
        <w:rPr>
          <w:rFonts w:ascii="Calibri" w:hAnsi="Calibri" w:eastAsia="Calibri" w:cs="Calibri"/>
          <w:sz w:val="24"/>
          <w:szCs w:val="24"/>
        </w:rPr>
        <w:drawing>
          <wp:anchor distT="0" distB="0" distL="114300" distR="114300" simplePos="0" relativeHeight="251659264" behindDoc="0" locked="0" layoutInCell="1" allowOverlap="1">
            <wp:simplePos x="0" y="0"/>
            <wp:positionH relativeFrom="column">
              <wp:posOffset>4451350</wp:posOffset>
            </wp:positionH>
            <wp:positionV relativeFrom="paragraph">
              <wp:posOffset>87630</wp:posOffset>
            </wp:positionV>
            <wp:extent cx="1123950" cy="5410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23950" cy="541020"/>
                    </a:xfrm>
                    <a:prstGeom prst="rect">
                      <a:avLst/>
                    </a:prstGeom>
                    <a:noFill/>
                  </pic:spPr>
                </pic:pic>
              </a:graphicData>
            </a:graphic>
          </wp:anchor>
        </w:drawing>
      </w:r>
      <w:r>
        <w:rPr>
          <w:rFonts w:ascii="Calibri" w:hAnsi="Calibri" w:eastAsia="Calibri" w:cs="Calibri"/>
          <w:sz w:val="24"/>
          <w:szCs w:val="24"/>
        </w:rPr>
        <w:t>____________________</w:t>
      </w:r>
      <w:r>
        <w:rPr>
          <w:rFonts w:ascii="Calibri" w:hAnsi="Calibri" w:eastAsia="Calibri" w:cs="Calibri"/>
          <w:sz w:val="24"/>
          <w:szCs w:val="24"/>
        </w:rPr>
        <w:br w:type="textWrapping"/>
      </w:r>
      <w:r>
        <w:rPr>
          <w:rFonts w:ascii="Calibri" w:hAnsi="Calibri" w:eastAsia="Calibri" w:cs="Calibri"/>
          <w:sz w:val="24"/>
          <w:szCs w:val="24"/>
        </w:rPr>
        <w:t>doc. dr. sc. Dina Korent</w:t>
      </w:r>
    </w:p>
    <w:p w14:paraId="1058D703">
      <w:pPr>
        <w:spacing w:line="276" w:lineRule="auto"/>
        <w:jc w:val="right"/>
        <w:rPr>
          <w:rFonts w:cstheme="minorHAnsi"/>
          <w:sz w:val="24"/>
          <w:szCs w:val="24"/>
        </w:rPr>
      </w:pPr>
      <w:r>
        <w:rPr>
          <w:rFonts w:cstheme="minorHAnsi"/>
          <w:b/>
          <w:bCs/>
          <w:sz w:val="24"/>
          <w:szCs w:val="24"/>
        </w:rPr>
        <w:t>RAVNATELJICA</w:t>
      </w:r>
      <w:r>
        <w:rPr>
          <w:rFonts w:cstheme="minorHAnsi"/>
          <w:sz w:val="24"/>
          <w:szCs w:val="24"/>
        </w:rPr>
        <w:t xml:space="preserve">  </w:t>
      </w:r>
      <w:r>
        <w:rPr>
          <w:rFonts w:cstheme="minorHAnsi"/>
          <w:sz w:val="24"/>
          <w:szCs w:val="24"/>
        </w:rPr>
        <w:br w:type="textWrapping"/>
      </w:r>
      <w:r>
        <w:rPr>
          <w:rFonts w:cstheme="minorHAnsi"/>
          <w:sz w:val="24"/>
          <w:szCs w:val="24"/>
        </w:rPr>
        <w:t xml:space="preserve">Dječjeg vrtića „Magnolija“ </w:t>
      </w:r>
    </w:p>
    <w:p w14:paraId="3B3D55CC">
      <w:pPr>
        <w:spacing w:after="0" w:line="276" w:lineRule="auto"/>
        <w:jc w:val="right"/>
        <w:rPr>
          <w:rFonts w:cstheme="minorHAnsi"/>
          <w:sz w:val="24"/>
          <w:szCs w:val="24"/>
        </w:rPr>
      </w:pPr>
      <w:r>
        <w:rPr>
          <w:rFonts w:cstheme="minorHAnsi"/>
          <w:sz w:val="24"/>
          <w:szCs w:val="24"/>
          <w14:ligatures w14:val="none"/>
        </w:rPr>
        <w:drawing>
          <wp:inline distT="0" distB="0" distL="0" distR="0">
            <wp:extent cx="1591945" cy="62928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613714" cy="638151"/>
                    </a:xfrm>
                    <a:prstGeom prst="rect">
                      <a:avLst/>
                    </a:prstGeom>
                  </pic:spPr>
                </pic:pic>
              </a:graphicData>
            </a:graphic>
          </wp:inline>
        </w:drawing>
      </w:r>
    </w:p>
    <w:p w14:paraId="3B11466E">
      <w:pPr>
        <w:spacing w:after="0" w:line="276" w:lineRule="auto"/>
        <w:jc w:val="right"/>
        <w:rPr>
          <w:rFonts w:cstheme="minorHAnsi"/>
          <w:sz w:val="24"/>
          <w:szCs w:val="24"/>
        </w:rPr>
      </w:pPr>
      <w:r>
        <w:rPr>
          <w:rFonts w:cstheme="minorHAnsi"/>
          <w:sz w:val="24"/>
          <w:szCs w:val="24"/>
        </w:rPr>
        <w:t>______________________________</w:t>
      </w:r>
    </w:p>
    <w:p w14:paraId="20C7C334">
      <w:pPr>
        <w:spacing w:line="276" w:lineRule="auto"/>
        <w:jc w:val="right"/>
        <w:rPr>
          <w:rFonts w:cstheme="minorHAnsi"/>
          <w:sz w:val="24"/>
          <w:szCs w:val="24"/>
        </w:rPr>
      </w:pPr>
      <w:r>
        <w:rPr>
          <w:rFonts w:cstheme="minorHAnsi"/>
          <w:sz w:val="24"/>
          <w:szCs w:val="24"/>
        </w:rPr>
        <w:t>Dina Barić Baksa, bacc. praesc. educ.</w:t>
      </w:r>
      <w:r>
        <w:rPr>
          <w:rFonts w:cstheme="minorHAnsi"/>
        </w:rPr>
        <w:t xml:space="preserve"> </w:t>
      </w:r>
    </w:p>
    <w:p w14:paraId="5A4F2E38">
      <w:pPr>
        <w:spacing w:before="100" w:beforeAutospacing="1" w:after="100" w:afterAutospacing="1" w:line="276" w:lineRule="auto"/>
        <w:jc w:val="right"/>
        <w:rPr>
          <w:rFonts w:cstheme="minorHAnsi"/>
          <w:sz w:val="24"/>
          <w:szCs w:val="24"/>
        </w:rPr>
      </w:pP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EE"/>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82292"/>
      <w:docPartObj>
        <w:docPartGallery w:val="AutoText"/>
      </w:docPartObj>
    </w:sdtPr>
    <w:sdtContent>
      <w:p w14:paraId="51E5F849">
        <w:pPr>
          <w:pStyle w:val="8"/>
          <w:jc w:val="right"/>
        </w:pPr>
        <w:r>
          <w:fldChar w:fldCharType="begin"/>
        </w:r>
        <w:r>
          <w:instrText xml:space="preserve">PAGE   \* MERGEFORMAT</w:instrText>
        </w:r>
        <w:r>
          <w:fldChar w:fldCharType="separate"/>
        </w:r>
        <w:r>
          <w:t>2</w:t>
        </w:r>
        <w:r>
          <w:fldChar w:fldCharType="end"/>
        </w:r>
      </w:p>
    </w:sdtContent>
  </w:sdt>
  <w:p w14:paraId="7E72E4C1">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1786C"/>
    <w:multiLevelType w:val="multilevel"/>
    <w:tmpl w:val="1071786C"/>
    <w:lvl w:ilvl="0" w:tentative="0">
      <w:start w:val="1"/>
      <w:numFmt w:val="decimal"/>
      <w:suff w:val="nothing"/>
      <w:lvlText w:val="Članak %1."/>
      <w:lvlJc w:val="left"/>
      <w:pPr>
        <w:ind w:left="4253" w:firstLine="0"/>
      </w:pPr>
    </w:lvl>
    <w:lvl w:ilvl="1" w:tentative="0">
      <w:start w:val="1"/>
      <w:numFmt w:val="bullet"/>
      <w:lvlText w:val="-"/>
      <w:lvlJc w:val="left"/>
      <w:pPr>
        <w:ind w:left="786" w:hanging="360"/>
      </w:pPr>
      <w:rPr>
        <w:rFonts w:hint="default" w:ascii="Calibri" w:hAnsi="Calibri"/>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
    <w:nsid w:val="3767305A"/>
    <w:multiLevelType w:val="multilevel"/>
    <w:tmpl w:val="3767305A"/>
    <w:lvl w:ilvl="0" w:tentative="0">
      <w:start w:val="1"/>
      <w:numFmt w:val="decimal"/>
      <w:suff w:val="nothing"/>
      <w:lvlText w:val="Članak %1."/>
      <w:lvlJc w:val="left"/>
      <w:pPr>
        <w:ind w:left="4253" w:firstLine="0"/>
      </w:pPr>
    </w:lvl>
    <w:lvl w:ilvl="1" w:tentative="0">
      <w:start w:val="1"/>
      <w:numFmt w:val="bullet"/>
      <w:lvlText w:val="-"/>
      <w:lvlJc w:val="left"/>
      <w:pPr>
        <w:ind w:left="786" w:hanging="360"/>
      </w:pPr>
      <w:rPr>
        <w:rFonts w:hint="default" w:ascii="Calibri" w:hAnsi="Calibri"/>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2">
    <w:nsid w:val="3ABE3DF2"/>
    <w:multiLevelType w:val="multilevel"/>
    <w:tmpl w:val="3ABE3DF2"/>
    <w:lvl w:ilvl="0" w:tentative="0">
      <w:start w:val="1"/>
      <w:numFmt w:val="decimal"/>
      <w:suff w:val="nothing"/>
      <w:lvlText w:val="Članak %1."/>
      <w:lvlJc w:val="left"/>
      <w:pPr>
        <w:ind w:left="4253" w:firstLine="0"/>
      </w:pPr>
    </w:lvl>
    <w:lvl w:ilvl="1" w:tentative="0">
      <w:start w:val="1"/>
      <w:numFmt w:val="bullet"/>
      <w:lvlText w:val="-"/>
      <w:lvlJc w:val="left"/>
      <w:pPr>
        <w:ind w:left="786" w:hanging="360"/>
      </w:pPr>
      <w:rPr>
        <w:rFonts w:hint="default" w:ascii="Calibri" w:hAnsi="Calibri"/>
      </w:rPr>
    </w:lvl>
    <w:lvl w:ilvl="2" w:tentative="0">
      <w:start w:val="1"/>
      <w:numFmt w:val="bullet"/>
      <w:lvlText w:val="-"/>
      <w:lvlJc w:val="left"/>
      <w:pPr>
        <w:ind w:left="1080" w:hanging="360"/>
      </w:pPr>
      <w:rPr>
        <w:rFonts w:hint="default" w:ascii="Calibri" w:hAnsi="Calibri"/>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3">
    <w:nsid w:val="3D5B1B2D"/>
    <w:multiLevelType w:val="multilevel"/>
    <w:tmpl w:val="3D5B1B2D"/>
    <w:lvl w:ilvl="0" w:tentative="0">
      <w:start w:val="1"/>
      <w:numFmt w:val="decimal"/>
      <w:suff w:val="nothing"/>
      <w:lvlText w:val="Članak %1."/>
      <w:lvlJc w:val="left"/>
      <w:pPr>
        <w:ind w:left="4253" w:firstLine="0"/>
      </w:pPr>
    </w:lvl>
    <w:lvl w:ilvl="1" w:tentative="0">
      <w:start w:val="1"/>
      <w:numFmt w:val="decimal"/>
      <w:suff w:val="space"/>
      <w:lvlText w:val="(%2)"/>
      <w:lvlJc w:val="left"/>
      <w:pPr>
        <w:ind w:left="767" w:hanging="341"/>
      </w:pPr>
      <w:rPr>
        <w:rFonts w:hint="default"/>
      </w:rPr>
    </w:lvl>
    <w:lvl w:ilvl="2" w:tentative="0">
      <w:start w:val="1"/>
      <w:numFmt w:val="lowerLetter"/>
      <w:lvlText w:val="%3."/>
      <w:lvlJc w:val="left"/>
      <w:pPr>
        <w:ind w:left="1080" w:hanging="360"/>
      </w:p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4">
    <w:nsid w:val="59DB6AB0"/>
    <w:multiLevelType w:val="multilevel"/>
    <w:tmpl w:val="59DB6AB0"/>
    <w:lvl w:ilvl="0" w:tentative="0">
      <w:start w:val="1"/>
      <w:numFmt w:val="decimal"/>
      <w:pStyle w:val="22"/>
      <w:suff w:val="space"/>
      <w:lvlText w:val="Članak %1."/>
      <w:lvlJc w:val="left"/>
      <w:pPr>
        <w:ind w:left="4395" w:firstLine="0"/>
      </w:pPr>
    </w:lvl>
    <w:lvl w:ilvl="1" w:tentative="0">
      <w:start w:val="1"/>
      <w:numFmt w:val="decimal"/>
      <w:pStyle w:val="20"/>
      <w:suff w:val="space"/>
      <w:lvlText w:val="(%2)"/>
      <w:lvlJc w:val="left"/>
      <w:pPr>
        <w:ind w:left="680" w:hanging="320"/>
      </w:pPr>
      <w:rPr>
        <w:rFonts w:hint="default"/>
        <w:b w:val="0"/>
        <w:bCs w:val="0"/>
      </w:rPr>
    </w:lvl>
    <w:lvl w:ilvl="2" w:tentative="0">
      <w:start w:val="1"/>
      <w:numFmt w:val="none"/>
      <w:lvlText w:val="%3"/>
      <w:lvlJc w:val="left"/>
      <w:pPr>
        <w:ind w:left="0" w:firstLine="34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5">
    <w:nsid w:val="5A03641E"/>
    <w:multiLevelType w:val="multilevel"/>
    <w:tmpl w:val="5A03641E"/>
    <w:lvl w:ilvl="0" w:tentative="0">
      <w:start w:val="1"/>
      <w:numFmt w:val="upperRoman"/>
      <w:pStyle w:val="17"/>
      <w:lvlText w:val="%1."/>
      <w:lvlJc w:val="right"/>
      <w:pPr>
        <w:ind w:left="720" w:hanging="360"/>
      </w:pPr>
      <w:rPr>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36020EC"/>
    <w:multiLevelType w:val="multilevel"/>
    <w:tmpl w:val="636020EC"/>
    <w:lvl w:ilvl="0" w:tentative="0">
      <w:start w:val="1"/>
      <w:numFmt w:val="decimal"/>
      <w:suff w:val="nothing"/>
      <w:lvlText w:val="Članak %1."/>
      <w:lvlJc w:val="left"/>
      <w:pPr>
        <w:ind w:left="4253" w:firstLine="0"/>
      </w:pPr>
    </w:lvl>
    <w:lvl w:ilvl="1" w:tentative="0">
      <w:start w:val="1"/>
      <w:numFmt w:val="decimal"/>
      <w:suff w:val="space"/>
      <w:lvlText w:val="(%2)"/>
      <w:lvlJc w:val="left"/>
      <w:pPr>
        <w:ind w:left="767" w:hanging="341"/>
      </w:pPr>
      <w:rPr>
        <w:rFonts w:hint="default"/>
      </w:rPr>
    </w:lvl>
    <w:lvl w:ilvl="2" w:tentative="0">
      <w:start w:val="1"/>
      <w:numFmt w:val="lowerLetter"/>
      <w:lvlText w:val="%3."/>
      <w:lvlJc w:val="left"/>
      <w:pPr>
        <w:ind w:left="1080" w:hanging="360"/>
      </w:p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7">
    <w:nsid w:val="7AA554A6"/>
    <w:multiLevelType w:val="multilevel"/>
    <w:tmpl w:val="7AA554A6"/>
    <w:lvl w:ilvl="0" w:tentative="0">
      <w:start w:val="1"/>
      <w:numFmt w:val="decimal"/>
      <w:suff w:val="nothing"/>
      <w:lvlText w:val="Članak %1."/>
      <w:lvlJc w:val="left"/>
      <w:pPr>
        <w:ind w:left="4253" w:firstLine="0"/>
      </w:pPr>
    </w:lvl>
    <w:lvl w:ilvl="1" w:tentative="0">
      <w:start w:val="1"/>
      <w:numFmt w:val="decimal"/>
      <w:suff w:val="space"/>
      <w:lvlText w:val="(%2)"/>
      <w:lvlJc w:val="left"/>
      <w:pPr>
        <w:ind w:left="767" w:hanging="341"/>
      </w:pPr>
      <w:rPr>
        <w:rFonts w:hint="default"/>
      </w:rPr>
    </w:lvl>
    <w:lvl w:ilvl="2" w:tentative="0">
      <w:start w:val="1"/>
      <w:numFmt w:val="lowerLetter"/>
      <w:lvlText w:val="%3."/>
      <w:lvlJc w:val="left"/>
      <w:pPr>
        <w:ind w:left="1080" w:hanging="360"/>
      </w:p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num w:numId="1">
    <w:abstractNumId w:val="5"/>
  </w:num>
  <w:num w:numId="2">
    <w:abstractNumId w:val="4"/>
  </w:num>
  <w:num w:numId="3">
    <w:abstractNumId w:val="6"/>
  </w:num>
  <w:num w:numId="4">
    <w:abstractNumId w:val="1"/>
  </w:num>
  <w:num w:numId="5">
    <w:abstractNumId w:val="0"/>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927"/>
    <w:rsid w:val="000F50D6"/>
    <w:rsid w:val="000F7863"/>
    <w:rsid w:val="0015506A"/>
    <w:rsid w:val="001572F5"/>
    <w:rsid w:val="00161C06"/>
    <w:rsid w:val="0016785B"/>
    <w:rsid w:val="00181185"/>
    <w:rsid w:val="00194B9B"/>
    <w:rsid w:val="001A3F17"/>
    <w:rsid w:val="001A7F48"/>
    <w:rsid w:val="002556F8"/>
    <w:rsid w:val="00265701"/>
    <w:rsid w:val="0027700A"/>
    <w:rsid w:val="00277AB0"/>
    <w:rsid w:val="00296700"/>
    <w:rsid w:val="002B3DE5"/>
    <w:rsid w:val="0031708B"/>
    <w:rsid w:val="00320ACD"/>
    <w:rsid w:val="0033372F"/>
    <w:rsid w:val="003437BA"/>
    <w:rsid w:val="003731D7"/>
    <w:rsid w:val="003B31B5"/>
    <w:rsid w:val="003C1DD5"/>
    <w:rsid w:val="003D1769"/>
    <w:rsid w:val="003E5DA5"/>
    <w:rsid w:val="00436D16"/>
    <w:rsid w:val="00455C47"/>
    <w:rsid w:val="004634A0"/>
    <w:rsid w:val="004915A4"/>
    <w:rsid w:val="00494D7B"/>
    <w:rsid w:val="004A5F15"/>
    <w:rsid w:val="004E0C7B"/>
    <w:rsid w:val="005349C7"/>
    <w:rsid w:val="00561CCF"/>
    <w:rsid w:val="0056461A"/>
    <w:rsid w:val="00585D9C"/>
    <w:rsid w:val="00586A1D"/>
    <w:rsid w:val="00597CE4"/>
    <w:rsid w:val="005B09DA"/>
    <w:rsid w:val="005B4EA1"/>
    <w:rsid w:val="005C429F"/>
    <w:rsid w:val="005C6776"/>
    <w:rsid w:val="00600A57"/>
    <w:rsid w:val="00624936"/>
    <w:rsid w:val="0062658B"/>
    <w:rsid w:val="00641327"/>
    <w:rsid w:val="006743DB"/>
    <w:rsid w:val="0068550A"/>
    <w:rsid w:val="006B1927"/>
    <w:rsid w:val="0070389F"/>
    <w:rsid w:val="00740101"/>
    <w:rsid w:val="00773F95"/>
    <w:rsid w:val="00784DDD"/>
    <w:rsid w:val="007946CB"/>
    <w:rsid w:val="007A67B1"/>
    <w:rsid w:val="00826126"/>
    <w:rsid w:val="00886CD9"/>
    <w:rsid w:val="008A3DAE"/>
    <w:rsid w:val="008D61F3"/>
    <w:rsid w:val="008F5D76"/>
    <w:rsid w:val="0091662F"/>
    <w:rsid w:val="0093782F"/>
    <w:rsid w:val="00970437"/>
    <w:rsid w:val="0098613D"/>
    <w:rsid w:val="00A13A2C"/>
    <w:rsid w:val="00A772EC"/>
    <w:rsid w:val="00A90C72"/>
    <w:rsid w:val="00B465FE"/>
    <w:rsid w:val="00B63F0D"/>
    <w:rsid w:val="00B76BEA"/>
    <w:rsid w:val="00B95570"/>
    <w:rsid w:val="00BA21FD"/>
    <w:rsid w:val="00BA7563"/>
    <w:rsid w:val="00BE4702"/>
    <w:rsid w:val="00C50867"/>
    <w:rsid w:val="00C530A2"/>
    <w:rsid w:val="00C82D03"/>
    <w:rsid w:val="00CA0220"/>
    <w:rsid w:val="00CB3C0F"/>
    <w:rsid w:val="00CF1075"/>
    <w:rsid w:val="00D106BA"/>
    <w:rsid w:val="00D8177B"/>
    <w:rsid w:val="00D81CE3"/>
    <w:rsid w:val="00D958C4"/>
    <w:rsid w:val="00DD2B47"/>
    <w:rsid w:val="00DD5B4B"/>
    <w:rsid w:val="00DF51A1"/>
    <w:rsid w:val="00E22B85"/>
    <w:rsid w:val="00E4691B"/>
    <w:rsid w:val="00E71088"/>
    <w:rsid w:val="00E850FF"/>
    <w:rsid w:val="00EC6D09"/>
    <w:rsid w:val="00F07211"/>
    <w:rsid w:val="00F35E59"/>
    <w:rsid w:val="00F729FB"/>
    <w:rsid w:val="00F863C1"/>
    <w:rsid w:val="00FD3301"/>
    <w:rsid w:val="60EA0E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hr-HR" w:eastAsia="en-US" w:bidi="ar-SA"/>
      <w14:ligatures w14:val="standardContextual"/>
    </w:rPr>
  </w:style>
  <w:style w:type="paragraph" w:styleId="2">
    <w:name w:val="heading 1"/>
    <w:basedOn w:val="1"/>
    <w:next w:val="1"/>
    <w:link w:val="24"/>
    <w:qFormat/>
    <w:uiPriority w:val="9"/>
    <w:pPr>
      <w:keepNext/>
      <w:keepLines/>
      <w:spacing w:before="240" w:after="0"/>
      <w:jc w:val="center"/>
      <w:outlineLvl w:val="0"/>
    </w:pPr>
    <w:rPr>
      <w:rFonts w:eastAsiaTheme="majorEastAsia" w:cstheme="majorBidi"/>
      <w:b/>
      <w:sz w:val="28"/>
      <w:szCs w:val="32"/>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annotation reference"/>
    <w:basedOn w:val="3"/>
    <w:semiHidden/>
    <w:unhideWhenUsed/>
    <w:uiPriority w:val="99"/>
    <w:rPr>
      <w:sz w:val="16"/>
      <w:szCs w:val="16"/>
    </w:rPr>
  </w:style>
  <w:style w:type="paragraph" w:styleId="6">
    <w:name w:val="annotation text"/>
    <w:basedOn w:val="1"/>
    <w:link w:val="15"/>
    <w:unhideWhenUsed/>
    <w:uiPriority w:val="99"/>
    <w:pPr>
      <w:spacing w:line="240" w:lineRule="auto"/>
    </w:pPr>
    <w:rPr>
      <w:sz w:val="20"/>
      <w:szCs w:val="20"/>
    </w:rPr>
  </w:style>
  <w:style w:type="paragraph" w:styleId="7">
    <w:name w:val="annotation subject"/>
    <w:basedOn w:val="6"/>
    <w:next w:val="6"/>
    <w:link w:val="16"/>
    <w:semiHidden/>
    <w:unhideWhenUsed/>
    <w:uiPriority w:val="99"/>
    <w:rPr>
      <w:b/>
      <w:bCs/>
    </w:rPr>
  </w:style>
  <w:style w:type="paragraph" w:styleId="8">
    <w:name w:val="footer"/>
    <w:basedOn w:val="1"/>
    <w:link w:val="14"/>
    <w:unhideWhenUsed/>
    <w:uiPriority w:val="99"/>
    <w:pPr>
      <w:tabs>
        <w:tab w:val="center" w:pos="4513"/>
        <w:tab w:val="right" w:pos="9026"/>
      </w:tabs>
      <w:spacing w:after="0" w:line="240" w:lineRule="auto"/>
    </w:pPr>
  </w:style>
  <w:style w:type="paragraph" w:styleId="9">
    <w:name w:val="header"/>
    <w:basedOn w:val="1"/>
    <w:link w:val="13"/>
    <w:unhideWhenUsed/>
    <w:uiPriority w:val="99"/>
    <w:pPr>
      <w:tabs>
        <w:tab w:val="center" w:pos="4513"/>
        <w:tab w:val="right" w:pos="9026"/>
      </w:tabs>
      <w:spacing w:after="0" w:line="240" w:lineRule="auto"/>
    </w:pPr>
  </w:style>
  <w:style w:type="paragraph" w:styleId="10">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kern w:val="0"/>
      <w:sz w:val="24"/>
      <w:szCs w:val="24"/>
      <w:lang w:eastAsia="hr-HR"/>
      <w14:ligatures w14:val="none"/>
    </w:rPr>
  </w:style>
  <w:style w:type="character" w:styleId="11">
    <w:name w:val="Strong"/>
    <w:basedOn w:val="3"/>
    <w:qFormat/>
    <w:uiPriority w:val="22"/>
    <w:rPr>
      <w:b/>
      <w:bCs/>
    </w:rPr>
  </w:style>
  <w:style w:type="paragraph" w:styleId="12">
    <w:name w:val="List Paragraph"/>
    <w:basedOn w:val="1"/>
    <w:link w:val="18"/>
    <w:qFormat/>
    <w:uiPriority w:val="34"/>
    <w:pPr>
      <w:ind w:left="720"/>
      <w:contextualSpacing/>
    </w:pPr>
  </w:style>
  <w:style w:type="character" w:customStyle="1" w:styleId="13">
    <w:name w:val="Header Char"/>
    <w:basedOn w:val="3"/>
    <w:link w:val="9"/>
    <w:qFormat/>
    <w:uiPriority w:val="99"/>
    <w:rPr>
      <w:kern w:val="2"/>
      <w14:ligatures w14:val="standardContextual"/>
    </w:rPr>
  </w:style>
  <w:style w:type="character" w:customStyle="1" w:styleId="14">
    <w:name w:val="Footer Char"/>
    <w:basedOn w:val="3"/>
    <w:link w:val="8"/>
    <w:uiPriority w:val="99"/>
    <w:rPr>
      <w:kern w:val="2"/>
      <w14:ligatures w14:val="standardContextual"/>
    </w:rPr>
  </w:style>
  <w:style w:type="character" w:customStyle="1" w:styleId="15">
    <w:name w:val="Comment Text Char"/>
    <w:basedOn w:val="3"/>
    <w:link w:val="6"/>
    <w:uiPriority w:val="99"/>
    <w:rPr>
      <w:kern w:val="2"/>
      <w:sz w:val="20"/>
      <w:szCs w:val="20"/>
      <w14:ligatures w14:val="standardContextual"/>
    </w:rPr>
  </w:style>
  <w:style w:type="character" w:customStyle="1" w:styleId="16">
    <w:name w:val="Comment Subject Char"/>
    <w:basedOn w:val="15"/>
    <w:link w:val="7"/>
    <w:semiHidden/>
    <w:uiPriority w:val="99"/>
    <w:rPr>
      <w:b/>
      <w:bCs/>
      <w:kern w:val="2"/>
      <w:sz w:val="20"/>
      <w:szCs w:val="20"/>
      <w14:ligatures w14:val="standardContextual"/>
    </w:rPr>
  </w:style>
  <w:style w:type="paragraph" w:customStyle="1" w:styleId="17">
    <w:name w:val="Glava"/>
    <w:basedOn w:val="12"/>
    <w:link w:val="19"/>
    <w:qFormat/>
    <w:uiPriority w:val="0"/>
    <w:pPr>
      <w:numPr>
        <w:ilvl w:val="0"/>
        <w:numId w:val="1"/>
      </w:numPr>
      <w:spacing w:before="240" w:after="240" w:line="360" w:lineRule="auto"/>
      <w:ind w:left="0" w:firstLine="0"/>
      <w:jc w:val="center"/>
      <w:outlineLvl w:val="1"/>
    </w:pPr>
    <w:rPr>
      <w:rFonts w:cstheme="minorHAnsi"/>
      <w:b/>
      <w:bCs/>
      <w:sz w:val="24"/>
      <w:szCs w:val="24"/>
    </w:rPr>
  </w:style>
  <w:style w:type="character" w:customStyle="1" w:styleId="18">
    <w:name w:val="List Paragraph Char"/>
    <w:basedOn w:val="3"/>
    <w:link w:val="12"/>
    <w:uiPriority w:val="34"/>
    <w:rPr>
      <w:kern w:val="2"/>
      <w14:ligatures w14:val="standardContextual"/>
    </w:rPr>
  </w:style>
  <w:style w:type="character" w:customStyle="1" w:styleId="19">
    <w:name w:val="Glava Char"/>
    <w:basedOn w:val="18"/>
    <w:link w:val="17"/>
    <w:uiPriority w:val="0"/>
    <w:rPr>
      <w:rFonts w:cstheme="minorHAnsi"/>
      <w:b/>
      <w:bCs/>
      <w:kern w:val="2"/>
      <w:sz w:val="24"/>
      <w:szCs w:val="24"/>
      <w14:ligatures w14:val="standardContextual"/>
    </w:rPr>
  </w:style>
  <w:style w:type="paragraph" w:customStyle="1" w:styleId="20">
    <w:name w:val="Stavak"/>
    <w:basedOn w:val="12"/>
    <w:link w:val="21"/>
    <w:qFormat/>
    <w:uiPriority w:val="0"/>
    <w:pPr>
      <w:numPr>
        <w:ilvl w:val="1"/>
        <w:numId w:val="2"/>
      </w:numPr>
      <w:spacing w:before="120" w:after="0"/>
      <w:ind w:left="0" w:firstLine="227"/>
      <w:jc w:val="both"/>
      <w:outlineLvl w:val="3"/>
    </w:pPr>
    <w:rPr>
      <w:rFonts w:cstheme="minorHAnsi"/>
      <w:sz w:val="24"/>
      <w:szCs w:val="24"/>
    </w:rPr>
  </w:style>
  <w:style w:type="character" w:customStyle="1" w:styleId="21">
    <w:name w:val="Stavak Char"/>
    <w:basedOn w:val="18"/>
    <w:link w:val="20"/>
    <w:uiPriority w:val="0"/>
    <w:rPr>
      <w:rFonts w:cstheme="minorHAnsi"/>
      <w:kern w:val="2"/>
      <w:sz w:val="24"/>
      <w:szCs w:val="24"/>
      <w14:ligatures w14:val="standardContextual"/>
    </w:rPr>
  </w:style>
  <w:style w:type="paragraph" w:customStyle="1" w:styleId="22">
    <w:name w:val="Članak X"/>
    <w:basedOn w:val="12"/>
    <w:link w:val="23"/>
    <w:qFormat/>
    <w:uiPriority w:val="0"/>
    <w:pPr>
      <w:numPr>
        <w:ilvl w:val="0"/>
        <w:numId w:val="2"/>
      </w:numPr>
      <w:spacing w:before="240" w:after="120"/>
      <w:ind w:left="0"/>
      <w:jc w:val="center"/>
      <w:outlineLvl w:val="2"/>
    </w:pPr>
    <w:rPr>
      <w:rFonts w:cstheme="minorHAnsi"/>
      <w:b/>
      <w:bCs/>
      <w:sz w:val="24"/>
      <w:szCs w:val="24"/>
    </w:rPr>
  </w:style>
  <w:style w:type="character" w:customStyle="1" w:styleId="23">
    <w:name w:val="Članak X Char"/>
    <w:basedOn w:val="18"/>
    <w:link w:val="22"/>
    <w:uiPriority w:val="0"/>
    <w:rPr>
      <w:rFonts w:cstheme="minorHAnsi"/>
      <w:b/>
      <w:bCs/>
      <w:kern w:val="2"/>
      <w:sz w:val="24"/>
      <w:szCs w:val="24"/>
      <w14:ligatures w14:val="standardContextual"/>
    </w:rPr>
  </w:style>
  <w:style w:type="character" w:customStyle="1" w:styleId="24">
    <w:name w:val="Heading 1 Char"/>
    <w:basedOn w:val="3"/>
    <w:link w:val="2"/>
    <w:uiPriority w:val="9"/>
    <w:rPr>
      <w:rFonts w:eastAsiaTheme="majorEastAsia" w:cstheme="majorBidi"/>
      <w:b/>
      <w:kern w:val="2"/>
      <w:sz w:val="28"/>
      <w:szCs w:val="32"/>
      <w14:ligatures w14:val="standardContextual"/>
    </w:rPr>
  </w:style>
  <w:style w:type="table" w:customStyle="1" w:styleId="25">
    <w:name w:val="Plain Table 51"/>
    <w:basedOn w:val="4"/>
    <w:uiPriority w:val="45"/>
    <w:pPr>
      <w:spacing w:after="0" w:line="240" w:lineRule="auto"/>
    </w:pPr>
    <w:rPr>
      <w:rFonts w:ascii="Calibri" w:hAnsi="Calibri" w:eastAsia="Calibri" w:cs="Arial"/>
      <w:sz w:val="20"/>
      <w:szCs w:val="20"/>
      <w:lang w:eastAsia="hr-HR"/>
    </w:rPr>
    <w:tblStylePr w:type="firstRow">
      <w:rPr>
        <w:rFonts w:ascii="Calibri Light" w:hAnsi="Calibri Light" w:eastAsia="Times New Roman" w:cs="Times New Roman"/>
        <w:i/>
        <w:iCs/>
        <w:sz w:val="26"/>
      </w:rPr>
      <w:tcPr>
        <w:tcBorders>
          <w:bottom w:val="single" w:color="7F7F7F" w:sz="4" w:space="0"/>
        </w:tcBorders>
        <w:shd w:val="clear" w:color="auto" w:fill="FFFFFF"/>
      </w:tcPr>
    </w:tblStylePr>
    <w:tblStylePr w:type="lastRow">
      <w:rPr>
        <w:rFonts w:ascii="Calibri Light" w:hAnsi="Calibri Light" w:eastAsia="Times New Roman" w:cs="Times New Roman"/>
        <w:i/>
        <w:iCs/>
        <w:sz w:val="26"/>
      </w:rPr>
      <w:tcPr>
        <w:tcBorders>
          <w:top w:val="single" w:color="7F7F7F" w:sz="4" w:space="0"/>
        </w:tcBorders>
        <w:shd w:val="clear" w:color="auto" w:fill="FFFFFF"/>
      </w:tcPr>
    </w:tblStylePr>
    <w:tblStylePr w:type="firstCol">
      <w:pPr>
        <w:jc w:val="right"/>
      </w:pPr>
      <w:rPr>
        <w:rFonts w:ascii="Calibri Light" w:hAnsi="Calibri Light" w:eastAsia="Times New Roman" w:cs="Times New Roman"/>
        <w:i/>
        <w:iCs/>
        <w:sz w:val="26"/>
      </w:rPr>
      <w:tcPr>
        <w:tcBorders>
          <w:right w:val="single" w:color="7F7F7F" w:sz="4" w:space="0"/>
        </w:tcBorders>
        <w:shd w:val="clear" w:color="auto" w:fill="FFFFFF"/>
      </w:tcPr>
    </w:tblStylePr>
    <w:tblStylePr w:type="lastCol">
      <w:rPr>
        <w:rFonts w:ascii="Calibri Light" w:hAnsi="Calibri Light" w:eastAsia="Times New Roman" w:cs="Times New Roman"/>
        <w:i/>
        <w:iCs/>
        <w:sz w:val="26"/>
      </w:rPr>
      <w:tcPr>
        <w:tcBorders>
          <w:left w:val="single" w:color="7F7F7F" w:sz="4" w:space="0"/>
        </w:tcBorders>
        <w:shd w:val="clear" w:color="auto" w:fill="FFFFFF"/>
      </w:tcPr>
    </w:tblStylePr>
    <w:tblStylePr w:type="band1Vert">
      <w:tcPr>
        <w:shd w:val="clear" w:color="auto" w:fill="F2F2F2"/>
      </w:tcPr>
    </w:tblStylePr>
    <w:tblStylePr w:type="band1Horz">
      <w:tcPr>
        <w:shd w:val="clear" w:color="auto" w:fill="F2F2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26">
    <w:name w:val="Plain Table 5"/>
    <w:basedOn w:val="4"/>
    <w:uiPriority w:val="45"/>
    <w:pPr>
      <w:spacing w:after="0" w:line="240" w:lineRule="auto"/>
    </w:p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na\Desktop\3_Politika\Op&#263;in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Općina template</Template>
  <Pages>20</Pages>
  <Words>5567</Words>
  <Characters>34495</Characters>
  <Lines>284</Lines>
  <Paragraphs>80</Paragraphs>
  <TotalTime>37</TotalTime>
  <ScaleCrop>false</ScaleCrop>
  <LinksUpToDate>false</LinksUpToDate>
  <CharactersWithSpaces>39708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2026-07-23T20:47:00Z</dcterms:created>
  <dc:creator>Dina</dc:creator>
  <cp:lastModifiedBy>Matija Ladić</cp:lastModifiedBy>
  <dcterms:modified xsi:type="dcterms:W3CDTF">2026-08-11T11:51:39Z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eyJoZGlkIjoiYmQyNDQ2NzE4YmRkZjhlNjljMjllYzFlZDZkMzI4MGMiLCJ1c2VySWQiOiIzNzI4NDUxMzUwODkwIn0=</vt:lpwstr>
  </property>
  <property fmtid="{D5CDD505-2E9C-101B-9397-08002B2CF9AE}" pid="3" name="KSOProductBuildVer">
    <vt:lpwstr>1033-12.1.0.28032</vt:lpwstr>
  </property>
  <property fmtid="{D5CDD505-2E9C-101B-9397-08002B2CF9AE}" pid="4" name="ICV">
    <vt:lpwstr>73B179D5BB7F4949839CDD5839CA21B7_12</vt:lpwstr>
  </property>
</Properties>
</file>