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0571B">
      <w:pPr>
        <w:spacing w:after="0" w:line="276" w:lineRule="auto"/>
        <w:rPr>
          <w:rFonts w:eastAsia="Times New Roman" w:cstheme="minorHAnsi"/>
          <w:sz w:val="24"/>
          <w:szCs w:val="24"/>
          <w:lang w:eastAsia="hr-HR"/>
        </w:rPr>
      </w:pPr>
      <w:r>
        <w:rPr>
          <w:rFonts w:eastAsia="Times New Roman" w:cstheme="minorHAnsi"/>
          <w:sz w:val="24"/>
          <w:szCs w:val="24"/>
          <w:lang w:eastAsia="hr-HR"/>
        </w:rPr>
        <w:drawing>
          <wp:inline distT="0" distB="0" distL="0" distR="0">
            <wp:extent cx="1432560" cy="107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32560" cy="1074420"/>
                    </a:xfrm>
                    <a:prstGeom prst="rect">
                      <a:avLst/>
                    </a:prstGeom>
                    <a:noFill/>
                    <a:ln>
                      <a:noFill/>
                    </a:ln>
                  </pic:spPr>
                </pic:pic>
              </a:graphicData>
            </a:graphic>
          </wp:inline>
        </w:drawing>
      </w:r>
    </w:p>
    <w:p w14:paraId="7E7A5C27">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REPUBLIKA HRVATSKA</w:t>
      </w:r>
    </w:p>
    <w:p w14:paraId="372E50F6">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MEĐIMURSKA ŽUPANIJA</w:t>
      </w:r>
    </w:p>
    <w:p w14:paraId="3DD06A39">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 xml:space="preserve">DJEČJI VRTIĆ „MAGNOLIJA" </w:t>
      </w:r>
    </w:p>
    <w:p w14:paraId="06E4AC89">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PRIBISLAVEC</w:t>
      </w:r>
    </w:p>
    <w:p w14:paraId="3A7575F7">
      <w:pPr>
        <w:spacing w:after="0" w:line="276" w:lineRule="auto"/>
        <w:jc w:val="both"/>
        <w:rPr>
          <w:rFonts w:cstheme="minorHAnsi"/>
          <w:sz w:val="24"/>
          <w:szCs w:val="24"/>
        </w:rPr>
      </w:pPr>
      <w:r>
        <w:rPr>
          <w:rFonts w:eastAsia="Times New Roman" w:cstheme="minorHAnsi"/>
          <w:b/>
          <w:bCs/>
          <w:sz w:val="24"/>
          <w:szCs w:val="24"/>
          <w:lang w:eastAsia="hr-HR"/>
        </w:rPr>
        <w:t>UPRAVNO VIJEĆE</w:t>
      </w:r>
      <w:r>
        <w:rPr>
          <w:rFonts w:cstheme="minorHAnsi"/>
          <w:sz w:val="24"/>
          <w:szCs w:val="24"/>
        </w:rPr>
        <w:br w:type="textWrapping"/>
      </w:r>
    </w:p>
    <w:p w14:paraId="345C86DC">
      <w:pPr>
        <w:spacing w:after="0" w:line="276" w:lineRule="auto"/>
        <w:jc w:val="both"/>
        <w:rPr>
          <w:rFonts w:cstheme="minorHAnsi"/>
          <w:sz w:val="24"/>
          <w:szCs w:val="24"/>
        </w:rPr>
      </w:pPr>
      <w:r>
        <w:rPr>
          <w:rFonts w:cstheme="minorHAnsi"/>
          <w:sz w:val="24"/>
          <w:szCs w:val="24"/>
        </w:rPr>
        <w:t>Na temelju čl. 39. Zakona o predškolskom odgoju i obrazovanju („Narodne novine“ br. 10/97, 107/07, 94/13, 98/19, 57/22, 101/23, 145/23, 145/24, 146/25, 22/26) i čl. 17. Statuta Dječjeg vrtića „Magnolija" (</w:t>
      </w:r>
      <w:r>
        <w:rPr>
          <w:rFonts w:eastAsia="Calibri" w:cstheme="minorHAnsi"/>
          <w:sz w:val="24"/>
          <w:szCs w:val="24"/>
        </w:rPr>
        <w:t>KLASA:</w:t>
      </w:r>
      <w:r>
        <w:rPr>
          <w:rFonts w:cstheme="minorHAnsi"/>
          <w:sz w:val="24"/>
          <w:szCs w:val="24"/>
        </w:rPr>
        <w:t xml:space="preserve"> </w:t>
      </w:r>
      <w:r>
        <w:rPr>
          <w:rFonts w:eastAsia="Calibri" w:cstheme="minorHAnsi"/>
          <w:sz w:val="24"/>
          <w:szCs w:val="24"/>
        </w:rPr>
        <w:t>601-01/26-01/05; URBROJ:</w:t>
      </w:r>
      <w:r>
        <w:rPr>
          <w:rFonts w:cstheme="minorHAnsi"/>
          <w:sz w:val="24"/>
          <w:szCs w:val="24"/>
        </w:rPr>
        <w:t xml:space="preserve"> </w:t>
      </w:r>
      <w:r>
        <w:rPr>
          <w:rFonts w:eastAsia="Calibri" w:cstheme="minorHAnsi"/>
          <w:sz w:val="24"/>
          <w:szCs w:val="24"/>
        </w:rPr>
        <w:t>2109-26-06-26-06 od 16. travnja 2026. godine)</w:t>
      </w:r>
      <w:r>
        <w:rPr>
          <w:rFonts w:cstheme="minorHAnsi"/>
          <w:sz w:val="24"/>
          <w:szCs w:val="24"/>
        </w:rPr>
        <w:t>, Upravno vijeće Dječjeg vrtića „Magnolija" je na 4. sjednici održanoj 23. srpnja 2026. godine donijelo</w:t>
      </w:r>
    </w:p>
    <w:p w14:paraId="524839AE">
      <w:pPr>
        <w:spacing w:line="276" w:lineRule="auto"/>
        <w:rPr>
          <w:rFonts w:cstheme="minorHAnsi"/>
          <w:sz w:val="24"/>
          <w:szCs w:val="24"/>
        </w:rPr>
      </w:pPr>
    </w:p>
    <w:p w14:paraId="32E8815F">
      <w:pPr>
        <w:spacing w:line="276" w:lineRule="auto"/>
        <w:rPr>
          <w:rFonts w:cstheme="minorHAnsi"/>
          <w:sz w:val="24"/>
          <w:szCs w:val="24"/>
        </w:rPr>
      </w:pPr>
    </w:p>
    <w:p w14:paraId="557E8431">
      <w:pPr>
        <w:spacing w:line="276" w:lineRule="auto"/>
        <w:rPr>
          <w:rFonts w:cstheme="minorHAnsi"/>
          <w:sz w:val="24"/>
          <w:szCs w:val="24"/>
        </w:rPr>
      </w:pPr>
    </w:p>
    <w:p w14:paraId="62625B8D">
      <w:pPr>
        <w:pStyle w:val="2"/>
        <w:numPr>
          <w:ilvl w:val="0"/>
          <w:numId w:val="0"/>
        </w:numPr>
        <w:rPr>
          <w:rFonts w:asciiTheme="minorHAnsi" w:hAnsiTheme="minorHAnsi" w:cstheme="minorHAnsi"/>
        </w:rPr>
      </w:pPr>
      <w:r>
        <w:rPr>
          <w:rFonts w:asciiTheme="minorHAnsi" w:hAnsiTheme="minorHAnsi" w:cstheme="minorHAnsi"/>
        </w:rPr>
        <w:t>KURIKUL</w:t>
      </w:r>
      <w:r>
        <w:rPr>
          <w:rFonts w:asciiTheme="minorHAnsi" w:hAnsiTheme="minorHAnsi" w:cstheme="minorHAnsi"/>
        </w:rPr>
        <w:br w:type="textWrapping"/>
      </w:r>
      <w:r>
        <w:rPr>
          <w:rFonts w:asciiTheme="minorHAnsi" w:hAnsiTheme="minorHAnsi" w:cstheme="minorHAnsi"/>
        </w:rPr>
        <w:t>Dječjeg vrtića „Magnolija"</w:t>
      </w:r>
      <w:r>
        <w:rPr>
          <w:rFonts w:asciiTheme="minorHAnsi" w:hAnsiTheme="minorHAnsi" w:cstheme="minorHAnsi"/>
        </w:rPr>
        <w:br w:type="textWrapping"/>
      </w:r>
      <w:r>
        <w:rPr>
          <w:rFonts w:asciiTheme="minorHAnsi" w:hAnsiTheme="minorHAnsi" w:cstheme="minorHAnsi"/>
        </w:rPr>
        <w:t>za razdoblje 2026. ─ 2031.</w:t>
      </w:r>
    </w:p>
    <w:p w14:paraId="725F13E0">
      <w:pPr>
        <w:spacing w:line="276" w:lineRule="auto"/>
        <w:ind w:left="2832" w:firstLine="708"/>
        <w:rPr>
          <w:rFonts w:cstheme="minorHAnsi"/>
          <w:sz w:val="24"/>
          <w:szCs w:val="24"/>
        </w:rPr>
      </w:pPr>
    </w:p>
    <w:p w14:paraId="448A688B">
      <w:pPr>
        <w:spacing w:line="276" w:lineRule="auto"/>
        <w:jc w:val="right"/>
        <w:rPr>
          <w:rFonts w:cstheme="minorHAnsi"/>
          <w:sz w:val="24"/>
          <w:szCs w:val="24"/>
        </w:rPr>
      </w:pPr>
    </w:p>
    <w:p w14:paraId="0CD97331">
      <w:pPr>
        <w:spacing w:line="276" w:lineRule="auto"/>
        <w:jc w:val="right"/>
        <w:rPr>
          <w:rFonts w:cstheme="minorHAnsi"/>
          <w:sz w:val="24"/>
          <w:szCs w:val="24"/>
        </w:rPr>
      </w:pPr>
    </w:p>
    <w:p w14:paraId="239434CF">
      <w:pPr>
        <w:tabs>
          <w:tab w:val="center" w:pos="4680"/>
        </w:tabs>
        <w:spacing w:line="276" w:lineRule="auto"/>
        <w:rPr>
          <w:rFonts w:cstheme="minorHAnsi"/>
        </w:rPr>
        <w:sectPr>
          <w:footerReference r:id="rId5" w:type="default"/>
          <w:pgSz w:w="12240" w:h="15840"/>
          <w:pgMar w:top="1440" w:right="1440" w:bottom="1440" w:left="1440" w:header="708" w:footer="708" w:gutter="0"/>
          <w:cols w:space="708" w:num="1"/>
          <w:docGrid w:linePitch="360" w:charSpace="0"/>
        </w:sectPr>
      </w:pPr>
      <w:r>
        <w:rPr>
          <w:rFonts w:cstheme="minorHAnsi"/>
        </w:rPr>
        <w:tab/>
      </w:r>
    </w:p>
    <w:p w14:paraId="29F842AF">
      <w:pPr>
        <w:spacing w:line="276" w:lineRule="auto"/>
        <w:ind w:firstLine="708"/>
        <w:jc w:val="center"/>
        <w:rPr>
          <w:rFonts w:cstheme="minorHAnsi"/>
          <w:sz w:val="24"/>
          <w:szCs w:val="24"/>
        </w:rPr>
      </w:pPr>
      <w:r>
        <w:rPr>
          <w:rFonts w:cstheme="minorHAnsi"/>
          <w:sz w:val="24"/>
          <w:szCs w:val="24"/>
        </w:rPr>
        <w:t xml:space="preserve">Ustanova je upisana na Trgovačkom sudu u Varaždinu pod registarskim brojem 070223879, dana 28. travnja 2026 godine. </w:t>
      </w:r>
    </w:p>
    <w:p w14:paraId="34230F36">
      <w:pPr>
        <w:spacing w:line="276" w:lineRule="auto"/>
        <w:ind w:firstLine="708"/>
        <w:jc w:val="center"/>
        <w:rPr>
          <w:rFonts w:cstheme="minorHAnsi"/>
          <w:sz w:val="28"/>
          <w:szCs w:val="28"/>
        </w:rPr>
      </w:pPr>
    </w:p>
    <w:p w14:paraId="400B6A13">
      <w:pPr>
        <w:spacing w:line="276" w:lineRule="auto"/>
        <w:jc w:val="center"/>
        <w:rPr>
          <w:rFonts w:cstheme="minorHAnsi"/>
          <w:sz w:val="24"/>
          <w:szCs w:val="24"/>
        </w:rPr>
      </w:pPr>
      <w:r>
        <w:rPr>
          <w:rFonts w:cstheme="minorHAnsi"/>
          <w:sz w:val="24"/>
          <w:szCs w:val="24"/>
        </w:rPr>
        <w:drawing>
          <wp:inline distT="0" distB="0" distL="114300" distR="114300">
            <wp:extent cx="3040380" cy="2785110"/>
            <wp:effectExtent l="0" t="0" r="7620" b="15240"/>
            <wp:docPr id="1" name="Picture 1" descr="logotip_dv_magnol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ip_dv_magnolija"/>
                    <pic:cNvPicPr>
                      <a:picLocks noChangeAspect="1"/>
                    </pic:cNvPicPr>
                  </pic:nvPicPr>
                  <pic:blipFill>
                    <a:blip r:embed="rId8"/>
                    <a:stretch>
                      <a:fillRect/>
                    </a:stretch>
                  </pic:blipFill>
                  <pic:spPr>
                    <a:xfrm>
                      <a:off x="0" y="0"/>
                      <a:ext cx="3040380" cy="2785110"/>
                    </a:xfrm>
                    <a:prstGeom prst="rect">
                      <a:avLst/>
                    </a:prstGeom>
                  </pic:spPr>
                </pic:pic>
              </a:graphicData>
            </a:graphic>
          </wp:inline>
        </w:drawing>
      </w:r>
    </w:p>
    <w:p w14:paraId="10F1447B">
      <w:pPr>
        <w:tabs>
          <w:tab w:val="center" w:pos="4680"/>
        </w:tabs>
        <w:spacing w:line="276" w:lineRule="auto"/>
        <w:rPr>
          <w:rFonts w:cstheme="minorHAnsi"/>
          <w:color w:val="FF0000"/>
          <w:sz w:val="28"/>
          <w:szCs w:val="28"/>
        </w:rPr>
      </w:pPr>
    </w:p>
    <w:p w14:paraId="12DCD38A">
      <w:pPr>
        <w:tabs>
          <w:tab w:val="center" w:pos="4680"/>
        </w:tabs>
        <w:spacing w:line="276" w:lineRule="auto"/>
        <w:rPr>
          <w:rFonts w:cstheme="minorHAnsi"/>
          <w:color w:val="FF0000"/>
          <w:sz w:val="28"/>
          <w:szCs w:val="28"/>
        </w:rPr>
      </w:pPr>
    </w:p>
    <w:p w14:paraId="3CAC1918">
      <w:pPr>
        <w:spacing w:line="276" w:lineRule="auto"/>
        <w:jc w:val="center"/>
        <w:rPr>
          <w:rFonts w:cstheme="minorHAnsi"/>
          <w:sz w:val="24"/>
          <w:szCs w:val="24"/>
        </w:rPr>
      </w:pPr>
      <w:r>
        <w:rPr>
          <w:rFonts w:cstheme="minorHAnsi"/>
          <w:b/>
          <w:bCs/>
          <w:sz w:val="24"/>
          <w:szCs w:val="24"/>
        </w:rPr>
        <w:t>Županija:</w:t>
      </w:r>
      <w:r>
        <w:rPr>
          <w:rFonts w:cstheme="minorHAnsi"/>
          <w:sz w:val="24"/>
          <w:szCs w:val="24"/>
        </w:rPr>
        <w:t xml:space="preserve"> Međimurska županija</w:t>
      </w:r>
    </w:p>
    <w:p w14:paraId="314B7DE5">
      <w:pPr>
        <w:spacing w:line="276" w:lineRule="auto"/>
        <w:jc w:val="center"/>
        <w:rPr>
          <w:rFonts w:cstheme="minorHAnsi"/>
          <w:sz w:val="24"/>
          <w:szCs w:val="24"/>
        </w:rPr>
      </w:pPr>
      <w:r>
        <w:rPr>
          <w:rFonts w:cstheme="minorHAnsi"/>
          <w:b/>
          <w:bCs/>
          <w:sz w:val="24"/>
          <w:szCs w:val="24"/>
        </w:rPr>
        <w:t>Općina:</w:t>
      </w:r>
      <w:r>
        <w:rPr>
          <w:rFonts w:cstheme="minorHAnsi"/>
          <w:sz w:val="24"/>
          <w:szCs w:val="24"/>
        </w:rPr>
        <w:t xml:space="preserve"> Pribislavec</w:t>
      </w:r>
    </w:p>
    <w:p w14:paraId="38297B4E">
      <w:pPr>
        <w:spacing w:line="276" w:lineRule="auto"/>
        <w:jc w:val="center"/>
        <w:rPr>
          <w:rFonts w:cstheme="minorHAnsi"/>
          <w:sz w:val="24"/>
          <w:szCs w:val="24"/>
        </w:rPr>
      </w:pPr>
      <w:r>
        <w:rPr>
          <w:rFonts w:cstheme="minorHAnsi"/>
          <w:b/>
          <w:bCs/>
          <w:sz w:val="24"/>
          <w:szCs w:val="24"/>
        </w:rPr>
        <w:t xml:space="preserve">Adresa: </w:t>
      </w:r>
      <w:r>
        <w:rPr>
          <w:rFonts w:cstheme="minorHAnsi"/>
          <w:sz w:val="24"/>
          <w:szCs w:val="24"/>
        </w:rPr>
        <w:t>Kaštelska ulica 14, Pribislavec</w:t>
      </w:r>
    </w:p>
    <w:p w14:paraId="2A6C3342">
      <w:pPr>
        <w:spacing w:line="276" w:lineRule="auto"/>
        <w:jc w:val="center"/>
        <w:rPr>
          <w:rFonts w:cstheme="minorHAnsi"/>
          <w:sz w:val="24"/>
          <w:szCs w:val="24"/>
        </w:rPr>
      </w:pPr>
      <w:r>
        <w:rPr>
          <w:rFonts w:cstheme="minorHAnsi"/>
          <w:b/>
          <w:bCs/>
          <w:sz w:val="24"/>
          <w:szCs w:val="24"/>
        </w:rPr>
        <w:t>E-mail:</w:t>
      </w:r>
      <w:r>
        <w:rPr>
          <w:rFonts w:cstheme="minorHAnsi"/>
          <w:sz w:val="24"/>
          <w:szCs w:val="24"/>
        </w:rPr>
        <w:t xml:space="preserve"> dv.magnolija@pribislavec.hr</w:t>
      </w:r>
    </w:p>
    <w:p w14:paraId="13F72F3D">
      <w:pPr>
        <w:spacing w:line="276" w:lineRule="auto"/>
        <w:jc w:val="center"/>
        <w:rPr>
          <w:rFonts w:cstheme="minorHAnsi"/>
          <w:sz w:val="24"/>
          <w:szCs w:val="24"/>
        </w:rPr>
      </w:pPr>
      <w:r>
        <w:rPr>
          <w:rFonts w:cstheme="minorHAnsi"/>
          <w:b/>
          <w:bCs/>
          <w:sz w:val="24"/>
          <w:szCs w:val="24"/>
        </w:rPr>
        <w:t xml:space="preserve">Mob: </w:t>
      </w:r>
      <w:r>
        <w:rPr>
          <w:rFonts w:cstheme="minorHAnsi"/>
          <w:sz w:val="24"/>
          <w:szCs w:val="24"/>
        </w:rPr>
        <w:t>099 388 4361</w:t>
      </w:r>
    </w:p>
    <w:p w14:paraId="0CDBFCD9">
      <w:pPr>
        <w:spacing w:line="276" w:lineRule="auto"/>
        <w:jc w:val="center"/>
        <w:rPr>
          <w:rFonts w:cstheme="minorHAnsi"/>
          <w:sz w:val="24"/>
          <w:szCs w:val="24"/>
        </w:rPr>
      </w:pPr>
      <w:r>
        <w:rPr>
          <w:rFonts w:cstheme="minorHAnsi"/>
          <w:b/>
          <w:bCs/>
          <w:sz w:val="24"/>
          <w:szCs w:val="24"/>
        </w:rPr>
        <w:t xml:space="preserve">Matični broj: </w:t>
      </w:r>
      <w:r>
        <w:rPr>
          <w:rFonts w:cstheme="minorHAnsi"/>
          <w:sz w:val="24"/>
          <w:szCs w:val="24"/>
        </w:rPr>
        <w:t>06284949</w:t>
      </w:r>
    </w:p>
    <w:p w14:paraId="6E7FC175">
      <w:pPr>
        <w:spacing w:line="276" w:lineRule="auto"/>
        <w:jc w:val="center"/>
        <w:rPr>
          <w:rFonts w:cstheme="minorHAnsi"/>
          <w:sz w:val="24"/>
          <w:szCs w:val="24"/>
        </w:rPr>
      </w:pPr>
      <w:r>
        <w:rPr>
          <w:rFonts w:cstheme="minorHAnsi"/>
          <w:b/>
          <w:bCs/>
          <w:sz w:val="24"/>
          <w:szCs w:val="24"/>
        </w:rPr>
        <w:t>OIB:</w:t>
      </w:r>
      <w:r>
        <w:rPr>
          <w:rFonts w:cstheme="minorHAnsi"/>
          <w:sz w:val="24"/>
          <w:szCs w:val="24"/>
        </w:rPr>
        <w:t xml:space="preserve"> 25477165360</w:t>
      </w:r>
    </w:p>
    <w:p w14:paraId="362DA149">
      <w:pPr>
        <w:spacing w:line="276" w:lineRule="auto"/>
        <w:jc w:val="center"/>
        <w:rPr>
          <w:rFonts w:cstheme="minorHAnsi"/>
          <w:sz w:val="24"/>
          <w:szCs w:val="24"/>
        </w:rPr>
      </w:pPr>
      <w:r>
        <w:rPr>
          <w:rFonts w:cstheme="minorHAnsi"/>
          <w:b/>
          <w:bCs/>
          <w:sz w:val="24"/>
          <w:szCs w:val="24"/>
        </w:rPr>
        <w:t>Osnivač:</w:t>
      </w:r>
      <w:r>
        <w:rPr>
          <w:rFonts w:cstheme="minorHAnsi"/>
          <w:sz w:val="24"/>
          <w:szCs w:val="24"/>
        </w:rPr>
        <w:t xml:space="preserve"> Općina Pribislavec</w:t>
      </w:r>
    </w:p>
    <w:p w14:paraId="7EBA7F95">
      <w:pPr>
        <w:spacing w:line="276" w:lineRule="auto"/>
        <w:jc w:val="center"/>
        <w:rPr>
          <w:rFonts w:cstheme="minorHAnsi"/>
          <w:sz w:val="24"/>
          <w:szCs w:val="24"/>
        </w:rPr>
        <w:sectPr>
          <w:pgSz w:w="12240" w:h="15840"/>
          <w:pgMar w:top="1440" w:right="1440" w:bottom="1440" w:left="1440" w:header="708" w:footer="708" w:gutter="0"/>
          <w:pgNumType w:fmt="upperRoman" w:start="1"/>
          <w:cols w:space="708" w:num="1"/>
          <w:docGrid w:linePitch="360" w:charSpace="0"/>
        </w:sectPr>
      </w:pPr>
      <w:r>
        <w:rPr>
          <w:rFonts w:cstheme="minorHAnsi"/>
          <w:b/>
          <w:bCs/>
          <w:sz w:val="24"/>
          <w:szCs w:val="24"/>
        </w:rPr>
        <w:t>Godina osnivanja:</w:t>
      </w:r>
      <w:r>
        <w:rPr>
          <w:rFonts w:cstheme="minorHAnsi"/>
          <w:sz w:val="24"/>
          <w:szCs w:val="24"/>
        </w:rPr>
        <w:t xml:space="preserve"> 2026.</w:t>
      </w:r>
    </w:p>
    <w:p w14:paraId="022BFDD0">
      <w:pPr>
        <w:pStyle w:val="2"/>
        <w:spacing w:line="276" w:lineRule="auto"/>
        <w:rPr>
          <w:rFonts w:asciiTheme="minorHAnsi" w:hAnsiTheme="minorHAnsi" w:cstheme="minorHAnsi"/>
        </w:rPr>
      </w:pPr>
      <w:r>
        <w:rPr>
          <w:rFonts w:asciiTheme="minorHAnsi" w:hAnsiTheme="minorHAnsi" w:cstheme="minorHAnsi"/>
        </w:rPr>
        <w:t>VIZIJA I MISIJA DJEČJEG VRTIĆA „MAGNOLIJA“</w:t>
      </w:r>
    </w:p>
    <w:p w14:paraId="2D613A73">
      <w:pPr>
        <w:spacing w:line="276" w:lineRule="auto"/>
        <w:rPr>
          <w:rFonts w:cstheme="minorHAnsi"/>
        </w:rPr>
      </w:pPr>
    </w:p>
    <w:p w14:paraId="5FD3CC8C">
      <w:pPr>
        <w:pStyle w:val="3"/>
        <w:rPr>
          <w:rFonts w:asciiTheme="minorHAnsi" w:hAnsiTheme="minorHAnsi" w:cstheme="minorHAnsi"/>
          <w:sz w:val="24"/>
          <w:szCs w:val="24"/>
        </w:rPr>
      </w:pPr>
      <w:r>
        <w:rPr>
          <w:rFonts w:asciiTheme="minorHAnsi" w:hAnsiTheme="minorHAnsi" w:cstheme="minorHAnsi"/>
        </w:rPr>
        <w:t xml:space="preserve">Vizija </w:t>
      </w:r>
    </w:p>
    <w:p w14:paraId="1E29DFB5">
      <w:pPr>
        <w:spacing w:line="276" w:lineRule="auto"/>
        <w:ind w:firstLine="420"/>
        <w:jc w:val="both"/>
        <w:rPr>
          <w:rStyle w:val="36"/>
          <w:rFonts w:asciiTheme="minorHAnsi" w:hAnsiTheme="minorHAnsi" w:cstheme="minorHAnsi"/>
          <w:sz w:val="24"/>
          <w:szCs w:val="24"/>
        </w:rPr>
      </w:pPr>
      <w:r>
        <w:rPr>
          <w:rStyle w:val="36"/>
          <w:rFonts w:asciiTheme="minorHAnsi" w:hAnsiTheme="minorHAnsi" w:cstheme="minorHAnsi"/>
          <w:sz w:val="24"/>
          <w:szCs w:val="24"/>
        </w:rPr>
        <w:t>Vizija Dječjeg vrtića „Magnolija“ jest biti suvremena zajednica u kojoj svako dijete, kroz igru, istraživanje i suradnju, razvija svoje potencijale u sigurnom i poticajnom okruženju. U partnerstvu s obitelji i lokalnom zajednicom gradimo temelje za cjeloživotno učenje, odgovorno ponašanje, međusobno uvažavanje i održivi razvoj.</w:t>
      </w:r>
    </w:p>
    <w:p w14:paraId="1B7288E9">
      <w:pPr>
        <w:spacing w:line="276" w:lineRule="auto"/>
        <w:ind w:firstLine="420"/>
        <w:jc w:val="both"/>
        <w:rPr>
          <w:rFonts w:cstheme="minorHAnsi"/>
          <w:sz w:val="24"/>
          <w:szCs w:val="24"/>
        </w:rPr>
      </w:pPr>
    </w:p>
    <w:p w14:paraId="093780DE">
      <w:pPr>
        <w:pStyle w:val="3"/>
        <w:rPr>
          <w:rFonts w:asciiTheme="minorHAnsi" w:hAnsiTheme="minorHAnsi" w:cstheme="minorHAnsi"/>
        </w:rPr>
      </w:pPr>
      <w:r>
        <w:rPr>
          <w:rFonts w:asciiTheme="minorHAnsi" w:hAnsiTheme="minorHAnsi" w:cstheme="minorHAnsi"/>
        </w:rPr>
        <w:t xml:space="preserve">Misija </w:t>
      </w:r>
    </w:p>
    <w:p w14:paraId="28FFC2A0">
      <w:pPr>
        <w:spacing w:line="276" w:lineRule="auto"/>
        <w:ind w:firstLine="420"/>
        <w:jc w:val="both"/>
        <w:rPr>
          <w:rFonts w:cstheme="minorHAnsi"/>
          <w:sz w:val="24"/>
          <w:szCs w:val="24"/>
        </w:rPr>
      </w:pPr>
      <w:r>
        <w:rPr>
          <w:rStyle w:val="36"/>
          <w:rFonts w:asciiTheme="minorHAnsi" w:hAnsiTheme="minorHAnsi" w:cstheme="minorHAnsi"/>
          <w:sz w:val="24"/>
          <w:szCs w:val="24"/>
        </w:rPr>
        <w:t xml:space="preserve">Misija Dječjeg vrtića „Magnolija“ je </w:t>
      </w:r>
      <w:r>
        <w:rPr>
          <w:rFonts w:cstheme="minorHAnsi"/>
          <w:sz w:val="24"/>
          <w:szCs w:val="24"/>
        </w:rPr>
        <w:t>osigurati kvalitetan odgojno-obrazovni rad usmjeren na dijete i njegov cjelovit razvoj, kroz uspješnu suradnju s roditeljima, profesionalni razvoj zaposlenika i otvorenost prema lokalnoj zajednici.</w:t>
      </w:r>
    </w:p>
    <w:p w14:paraId="65B10253">
      <w:pPr>
        <w:spacing w:line="276" w:lineRule="auto"/>
        <w:ind w:firstLine="420"/>
        <w:jc w:val="both"/>
        <w:rPr>
          <w:rFonts w:cstheme="minorHAnsi"/>
          <w:sz w:val="24"/>
          <w:szCs w:val="24"/>
        </w:rPr>
      </w:pPr>
    </w:p>
    <w:p w14:paraId="05CA5CBB">
      <w:pPr>
        <w:pStyle w:val="2"/>
        <w:spacing w:line="276" w:lineRule="auto"/>
        <w:rPr>
          <w:rFonts w:asciiTheme="minorHAnsi" w:hAnsiTheme="minorHAnsi" w:cstheme="minorHAnsi"/>
        </w:rPr>
      </w:pPr>
      <w:r>
        <w:rPr>
          <w:rFonts w:asciiTheme="minorHAnsi" w:hAnsiTheme="minorHAnsi" w:cstheme="minorHAnsi"/>
        </w:rPr>
        <w:t>KURIKUL DJEČJEG VRTIĆA</w:t>
      </w:r>
    </w:p>
    <w:p w14:paraId="20464383">
      <w:pPr>
        <w:spacing w:line="276" w:lineRule="auto"/>
        <w:rPr>
          <w:rFonts w:cstheme="minorHAnsi"/>
        </w:rPr>
      </w:pPr>
    </w:p>
    <w:p w14:paraId="17BF1AC1">
      <w:pPr>
        <w:pStyle w:val="3"/>
        <w:rPr>
          <w:rFonts w:asciiTheme="minorHAnsi" w:hAnsiTheme="minorHAnsi" w:cstheme="minorHAnsi"/>
        </w:rPr>
      </w:pPr>
      <w:r>
        <w:rPr>
          <w:rFonts w:asciiTheme="minorHAnsi" w:hAnsiTheme="minorHAnsi" w:cstheme="minorHAnsi"/>
        </w:rPr>
        <w:t>O kurikulu</w:t>
      </w:r>
    </w:p>
    <w:p w14:paraId="722ADCFE">
      <w:pPr>
        <w:pStyle w:val="24"/>
        <w:spacing w:line="276" w:lineRule="auto"/>
        <w:ind w:firstLine="420"/>
        <w:jc w:val="both"/>
        <w:rPr>
          <w:rFonts w:asciiTheme="minorHAnsi" w:hAnsiTheme="minorHAnsi" w:cstheme="minorHAnsi"/>
        </w:rPr>
      </w:pPr>
      <w:r>
        <w:rPr>
          <w:rFonts w:asciiTheme="minorHAnsi" w:hAnsiTheme="minorHAnsi" w:cstheme="minorHAnsi"/>
        </w:rPr>
        <w:t>Kurikul vrtića u svakoj se ustanovi oblikuje s obzirom na specifičan kontekst tj. njezinu kulturu te kulturu i tradiciju okruženja u kojem se ustanova nalazi. Kvalitetu kurikula vrtića određuju kontekstualni uvjeti u njemu (kvaliteta prostorno-materijalnog i socijalnog okruženja te organizacijska kultura), koji se kontinuirano propituju i unapređuju. Kvalitetan kurikul dječjeg vrtića odlikuje se integriranom i razvojnom prirodom te humanističkom i sukonstruktivističkom orijentacijom. Njegovo ostvarivanje podrazumijeva stvaranje odgovarajućih organizacijskih uvjeta koji se temelje na suvremenom shvaćanju djeteta kao cjelovitog bića, istraživača i aktivnog stvaratelja znanja te socijalnog subjekta sa specifičnim potrebama, pravima i vlastitom kulturom. Temelj svakog kurikula dječjeg vrtića je Nacionalni kurikul za rani i predškolski odgoj i obrazovanje koji sadrži polazišta, načela, vrijednosti i ciljeve ranog i predškolskog odgojno-obrazovnog procesa. U ustanovama ranoga i predškolskoga odgoja i obrazovanja stvara se društveno okruženje za kvalitetan život djeteta.</w:t>
      </w:r>
    </w:p>
    <w:p w14:paraId="17362E3A">
      <w:pPr>
        <w:pStyle w:val="24"/>
        <w:spacing w:line="276" w:lineRule="auto"/>
        <w:ind w:firstLine="420"/>
        <w:jc w:val="both"/>
        <w:rPr>
          <w:rFonts w:asciiTheme="minorHAnsi" w:hAnsiTheme="minorHAnsi" w:cstheme="minorHAnsi"/>
        </w:rPr>
      </w:pPr>
    </w:p>
    <w:p w14:paraId="50FE60B7">
      <w:pPr>
        <w:pStyle w:val="3"/>
        <w:rPr>
          <w:rFonts w:asciiTheme="minorHAnsi" w:hAnsiTheme="minorHAnsi" w:cstheme="minorHAnsi"/>
        </w:rPr>
      </w:pPr>
      <w:r>
        <w:rPr>
          <w:rFonts w:asciiTheme="minorHAnsi" w:hAnsiTheme="minorHAnsi" w:cstheme="minorHAnsi"/>
        </w:rPr>
        <w:t>Načela kurikula</w:t>
      </w:r>
    </w:p>
    <w:p w14:paraId="49D13F6C">
      <w:pPr>
        <w:tabs>
          <w:tab w:val="center" w:pos="4680"/>
        </w:tabs>
        <w:spacing w:line="276" w:lineRule="auto"/>
        <w:ind w:left="360"/>
        <w:jc w:val="both"/>
        <w:rPr>
          <w:rFonts w:cstheme="minorHAnsi"/>
          <w:sz w:val="24"/>
          <w:szCs w:val="24"/>
        </w:rPr>
      </w:pPr>
      <w:r>
        <w:rPr>
          <w:rFonts w:cstheme="minorHAnsi"/>
          <w:sz w:val="24"/>
          <w:szCs w:val="24"/>
        </w:rPr>
        <w:t>Načela na kojima je građen Nacionalni kurikul za rani i predškolski odgoj i obrazovanje su:</w:t>
      </w:r>
    </w:p>
    <w:p w14:paraId="7B7ADE22">
      <w:pPr>
        <w:pStyle w:val="25"/>
        <w:numPr>
          <w:ilvl w:val="0"/>
          <w:numId w:val="2"/>
        </w:numPr>
        <w:tabs>
          <w:tab w:val="center" w:pos="4680"/>
        </w:tabs>
        <w:spacing w:line="276" w:lineRule="auto"/>
        <w:jc w:val="both"/>
        <w:rPr>
          <w:rFonts w:cstheme="minorHAnsi"/>
          <w:sz w:val="24"/>
          <w:szCs w:val="24"/>
        </w:rPr>
      </w:pPr>
      <w:r>
        <w:rPr>
          <w:rFonts w:cstheme="minorHAnsi"/>
          <w:sz w:val="24"/>
          <w:szCs w:val="24"/>
        </w:rPr>
        <w:t>Fleksibilnost odgojno-obrazovnog procesa</w:t>
      </w:r>
    </w:p>
    <w:p w14:paraId="33A8BEA1">
      <w:pPr>
        <w:pStyle w:val="25"/>
        <w:numPr>
          <w:ilvl w:val="0"/>
          <w:numId w:val="2"/>
        </w:numPr>
        <w:tabs>
          <w:tab w:val="center" w:pos="4680"/>
        </w:tabs>
        <w:spacing w:line="276" w:lineRule="auto"/>
        <w:jc w:val="both"/>
        <w:rPr>
          <w:rFonts w:cstheme="minorHAnsi"/>
          <w:sz w:val="24"/>
          <w:szCs w:val="24"/>
        </w:rPr>
      </w:pPr>
      <w:r>
        <w:rPr>
          <w:rFonts w:cstheme="minorHAnsi"/>
          <w:sz w:val="24"/>
          <w:szCs w:val="24"/>
        </w:rPr>
        <w:t>Partnerstvo vrtića s roditeljima i širom zajednicom</w:t>
      </w:r>
    </w:p>
    <w:p w14:paraId="6BA5FF20">
      <w:pPr>
        <w:pStyle w:val="25"/>
        <w:numPr>
          <w:ilvl w:val="0"/>
          <w:numId w:val="2"/>
        </w:numPr>
        <w:tabs>
          <w:tab w:val="center" w:pos="4680"/>
        </w:tabs>
        <w:spacing w:line="276" w:lineRule="auto"/>
        <w:jc w:val="both"/>
        <w:rPr>
          <w:rFonts w:cstheme="minorHAnsi"/>
          <w:sz w:val="24"/>
          <w:szCs w:val="24"/>
        </w:rPr>
      </w:pPr>
      <w:r>
        <w:rPr>
          <w:rFonts w:cstheme="minorHAnsi"/>
          <w:sz w:val="24"/>
          <w:szCs w:val="24"/>
        </w:rPr>
        <w:t>Osiguravanje kontinuiteta u odgoju i obrazovanju</w:t>
      </w:r>
    </w:p>
    <w:p w14:paraId="5A396A41">
      <w:pPr>
        <w:pStyle w:val="25"/>
        <w:numPr>
          <w:ilvl w:val="0"/>
          <w:numId w:val="2"/>
        </w:numPr>
        <w:tabs>
          <w:tab w:val="center" w:pos="4680"/>
        </w:tabs>
        <w:spacing w:line="276" w:lineRule="auto"/>
        <w:jc w:val="both"/>
        <w:rPr>
          <w:rFonts w:cstheme="minorHAnsi"/>
          <w:sz w:val="24"/>
          <w:szCs w:val="24"/>
        </w:rPr>
      </w:pPr>
      <w:r>
        <w:rPr>
          <w:rFonts w:cstheme="minorHAnsi"/>
          <w:sz w:val="24"/>
          <w:szCs w:val="24"/>
        </w:rPr>
        <w:t>Otvorenost za kontinuirano učenje i spremnost na unaprjeđivanje prakse</w:t>
      </w:r>
    </w:p>
    <w:p w14:paraId="67AE34B9">
      <w:pPr>
        <w:tabs>
          <w:tab w:val="center" w:pos="4680"/>
        </w:tabs>
        <w:spacing w:after="0" w:line="276" w:lineRule="auto"/>
        <w:jc w:val="both"/>
        <w:rPr>
          <w:rFonts w:cstheme="minorHAnsi"/>
          <w:sz w:val="24"/>
          <w:szCs w:val="24"/>
        </w:rPr>
      </w:pPr>
      <w:r>
        <w:rPr>
          <w:rFonts w:cstheme="minorHAnsi"/>
          <w:b/>
          <w:bCs/>
          <w:sz w:val="24"/>
          <w:szCs w:val="24"/>
        </w:rPr>
        <w:tab/>
      </w:r>
      <w:r>
        <w:rPr>
          <w:rFonts w:cstheme="minorHAnsi"/>
          <w:b/>
          <w:bCs/>
          <w:sz w:val="24"/>
          <w:szCs w:val="24"/>
        </w:rPr>
        <w:t xml:space="preserve">     Fleksibilnost odgojno-obrazovnog procesa</w:t>
      </w:r>
      <w:r>
        <w:rPr>
          <w:rFonts w:cstheme="minorHAnsi"/>
          <w:sz w:val="24"/>
          <w:szCs w:val="24"/>
        </w:rPr>
        <w:t xml:space="preserve"> podrazumijeva prilagodbu odgojno-obrazovnog rada interesima i potrebama djece, roditelja i lokalne zajednice. Načelo fleksibilnosti polazi od uvjerenja da je učenje proces konstruiranja znanja pojedinca koje nije univerzalno za svakog pojedinca te se uspješno ostvaruje tamo gdje je omogućeno poštovanje prava svakog pojedinca i osigurano zadovoljenje specifičnih potreba i mogućnosti.</w:t>
      </w:r>
    </w:p>
    <w:p w14:paraId="212999BD">
      <w:pPr>
        <w:tabs>
          <w:tab w:val="center" w:pos="4680"/>
        </w:tabs>
        <w:spacing w:after="0" w:line="276" w:lineRule="auto"/>
        <w:jc w:val="both"/>
        <w:rPr>
          <w:rFonts w:cstheme="minorHAnsi"/>
          <w:b/>
          <w:sz w:val="24"/>
          <w:szCs w:val="24"/>
        </w:rPr>
      </w:pPr>
      <w:r>
        <w:rPr>
          <w:rFonts w:cstheme="minorHAnsi"/>
          <w:b/>
          <w:sz w:val="24"/>
          <w:szCs w:val="24"/>
        </w:rPr>
        <w:t xml:space="preserve">      Partnerstvo vrtića s roditeljima i širom zajednicom</w:t>
      </w:r>
    </w:p>
    <w:p w14:paraId="46CBC867">
      <w:pPr>
        <w:tabs>
          <w:tab w:val="center" w:pos="4680"/>
        </w:tabs>
        <w:spacing w:after="0" w:line="276" w:lineRule="auto"/>
        <w:jc w:val="both"/>
        <w:rPr>
          <w:rFonts w:cstheme="minorHAnsi"/>
          <w:b/>
          <w:iCs/>
          <w:sz w:val="24"/>
          <w:szCs w:val="24"/>
        </w:rPr>
      </w:pPr>
      <w:r>
        <w:rPr>
          <w:rFonts w:cstheme="minorHAnsi"/>
          <w:sz w:val="24"/>
          <w:szCs w:val="24"/>
        </w:rPr>
        <w:tab/>
      </w:r>
      <w:r>
        <w:rPr>
          <w:rFonts w:cstheme="minorHAnsi"/>
          <w:sz w:val="24"/>
          <w:szCs w:val="24"/>
        </w:rPr>
        <w:t xml:space="preserve">      Obitelj je uz vrtić primarni sustav u kojem u kojem se dijete rane i predškolske dobi razvija i raste te stječe prve spoznaje o sebi i svojoj okolini. Dijete u ovim zajednicama uči o stvaranju i održavanju odnosa, zajedništvu, toleranciji i načinima komunikacije. Dijete razvija svoje potencijale i stječe vještine potrebne za cijeli život. Upravo radi  kvalitetnog stjecanja ovih vještina i cjelovitog razvoja djeteta, partnerstvo i pozitivna suradnja ovih dvaju sustava vrlo je bitna. Jedan od uvjeta za stvaranje kvalitetnog odnosa između vrtića i obitelji djeteta je spremnost obje strane na sudjelovanje i unaprjeđenje samog odnosa. Zbog toga je potrebno roditelje uključiti u život vrtića na različite načine kao ravnopravne partnere u odgoju i obrazovanju  njihove djece.</w:t>
      </w:r>
    </w:p>
    <w:p w14:paraId="7B9464AB">
      <w:pPr>
        <w:tabs>
          <w:tab w:val="center" w:pos="4680"/>
        </w:tabs>
        <w:spacing w:line="276" w:lineRule="auto"/>
        <w:ind w:firstLine="426"/>
        <w:jc w:val="both"/>
        <w:rPr>
          <w:rFonts w:cstheme="minorHAnsi"/>
          <w:sz w:val="24"/>
          <w:szCs w:val="24"/>
        </w:rPr>
      </w:pPr>
      <w:r>
        <w:rPr>
          <w:rFonts w:cstheme="minorHAnsi"/>
          <w:b/>
          <w:iCs/>
          <w:sz w:val="24"/>
          <w:szCs w:val="24"/>
        </w:rPr>
        <w:tab/>
      </w:r>
      <w:r>
        <w:rPr>
          <w:rFonts w:cstheme="minorHAnsi"/>
          <w:b/>
          <w:iCs/>
          <w:sz w:val="24"/>
          <w:szCs w:val="24"/>
        </w:rPr>
        <w:t>Osiguravanje kontinuiteta u odgoju i obrazovanju</w:t>
      </w:r>
      <w:r>
        <w:rPr>
          <w:rFonts w:cstheme="minorHAnsi"/>
          <w:b/>
          <w:bCs/>
          <w:i/>
          <w:iCs/>
          <w:sz w:val="24"/>
          <w:szCs w:val="24"/>
        </w:rPr>
        <w:t xml:space="preserve"> </w:t>
      </w:r>
      <w:r>
        <w:rPr>
          <w:rFonts w:cstheme="minorHAnsi"/>
          <w:sz w:val="24"/>
          <w:szCs w:val="24"/>
        </w:rPr>
        <w:t xml:space="preserve">jedna je od najvažnijih zadaća prema </w:t>
      </w:r>
      <w:r>
        <w:rPr>
          <w:rFonts w:cstheme="minorHAnsi"/>
          <w:i/>
          <w:iCs/>
          <w:sz w:val="24"/>
          <w:szCs w:val="24"/>
        </w:rPr>
        <w:t xml:space="preserve">Nacionalnom kurikulu za rani i predškolski odgoj i obrazovanje. </w:t>
      </w:r>
      <w:r>
        <w:rPr>
          <w:rFonts w:cstheme="minorHAnsi"/>
          <w:sz w:val="24"/>
          <w:szCs w:val="24"/>
        </w:rPr>
        <w:t>Kako bi se taj kontinuitet uspješno ostvario, potrebno je razviti kvalitetno partnerstvo između vrtića, različitih razina odgojno-obrazovnog sustava, obitelji i lokalne zajednice. Takva suradnja omogućuje svim sudionicima uključenima u odgoj i obrazovanje djece da zajednički skrbe o njihovim psihofizičkim osobinama, potrebama i razvojnim mogućnostima, s ciljem poticanja njihova cjelovitog razvoja tijekom ranog i predškolskog razdoblja. Osim toga, važno je kontinuirano ulagati u razvoj osobnih i profesionalnih kompetencija svih stručnjaka zaposlenih u odgojno-obrazovnim ustanovama. Spremnost na cjeloživotno učenje i unapređivanje odgojno-obrazovne prakse ostvaruje se istraživanjem, stručnim usavršavanjem i suradnjom unutar zajednice koja uči.</w:t>
      </w:r>
    </w:p>
    <w:p w14:paraId="276A6641">
      <w:pPr>
        <w:tabs>
          <w:tab w:val="center" w:pos="4680"/>
        </w:tabs>
        <w:spacing w:after="0" w:line="276" w:lineRule="auto"/>
        <w:ind w:firstLine="426"/>
        <w:jc w:val="both"/>
        <w:rPr>
          <w:rFonts w:cstheme="minorHAnsi"/>
          <w:sz w:val="24"/>
          <w:szCs w:val="24"/>
        </w:rPr>
      </w:pPr>
      <w:r>
        <w:rPr>
          <w:rFonts w:cstheme="minorHAnsi"/>
          <w:b/>
          <w:bCs/>
          <w:sz w:val="24"/>
          <w:szCs w:val="24"/>
        </w:rPr>
        <w:t>Otvorenost za kontinuirano učenje i unapređivanje profesionalne prakse</w:t>
      </w:r>
      <w:r>
        <w:rPr>
          <w:rFonts w:cstheme="minorHAnsi"/>
          <w:sz w:val="24"/>
          <w:szCs w:val="24"/>
        </w:rPr>
        <w:t xml:space="preserve"> ostvaruje se kroz istraživanja, stručna usavršavanja te razmjenu iskustava stečenih u svakodnevnom radu, čime se osigurava njezin stalni napredak.</w:t>
      </w:r>
    </w:p>
    <w:p w14:paraId="7AB1046F">
      <w:pPr>
        <w:tabs>
          <w:tab w:val="center" w:pos="4680"/>
        </w:tabs>
        <w:spacing w:after="0" w:line="276" w:lineRule="auto"/>
        <w:ind w:firstLine="426"/>
        <w:jc w:val="both"/>
        <w:rPr>
          <w:rFonts w:cstheme="minorHAnsi"/>
          <w:sz w:val="24"/>
          <w:szCs w:val="24"/>
        </w:rPr>
      </w:pPr>
    </w:p>
    <w:p w14:paraId="14B9B511">
      <w:pPr>
        <w:pStyle w:val="3"/>
        <w:rPr>
          <w:rFonts w:asciiTheme="minorHAnsi" w:hAnsiTheme="minorHAnsi" w:cstheme="minorHAnsi"/>
        </w:rPr>
      </w:pPr>
      <w:r>
        <w:rPr>
          <w:rFonts w:asciiTheme="minorHAnsi" w:hAnsiTheme="minorHAnsi" w:cstheme="minorHAnsi"/>
        </w:rPr>
        <w:t>Vrijednosti kurikula</w:t>
      </w:r>
    </w:p>
    <w:p w14:paraId="3364169B">
      <w:pPr>
        <w:tabs>
          <w:tab w:val="center" w:pos="4680"/>
        </w:tabs>
        <w:spacing w:line="276" w:lineRule="auto"/>
        <w:jc w:val="both"/>
        <w:rPr>
          <w:rFonts w:cstheme="minorHAnsi"/>
          <w:sz w:val="24"/>
          <w:szCs w:val="24"/>
        </w:rPr>
      </w:pPr>
      <w:r>
        <w:rPr>
          <w:rFonts w:cstheme="minorHAnsi"/>
          <w:sz w:val="24"/>
          <w:szCs w:val="24"/>
        </w:rPr>
        <w:t xml:space="preserve">      Vrijednosti koje čine temelj poticanja </w:t>
      </w:r>
      <w:r>
        <w:rPr>
          <w:rFonts w:cstheme="minorHAnsi"/>
          <w:sz w:val="24"/>
          <w:szCs w:val="24"/>
        </w:rPr>
        <w:tab/>
      </w:r>
      <w:r>
        <w:rPr>
          <w:rFonts w:cstheme="minorHAnsi"/>
          <w:sz w:val="24"/>
          <w:szCs w:val="24"/>
        </w:rPr>
        <w:t xml:space="preserve">cjelovitog razvoja djece prema </w:t>
      </w:r>
      <w:r>
        <w:rPr>
          <w:rFonts w:cstheme="minorHAnsi"/>
          <w:i/>
          <w:iCs/>
          <w:sz w:val="24"/>
          <w:szCs w:val="24"/>
        </w:rPr>
        <w:t xml:space="preserve">Nacionalnom kurikulu </w:t>
      </w:r>
      <w:r>
        <w:rPr>
          <w:rFonts w:cstheme="minorHAnsi"/>
          <w:sz w:val="24"/>
          <w:szCs w:val="24"/>
        </w:rPr>
        <w:t>su:</w:t>
      </w:r>
    </w:p>
    <w:p w14:paraId="21C41273">
      <w:pPr>
        <w:pStyle w:val="25"/>
        <w:numPr>
          <w:ilvl w:val="0"/>
          <w:numId w:val="3"/>
        </w:numPr>
        <w:tabs>
          <w:tab w:val="center" w:pos="4680"/>
        </w:tabs>
        <w:spacing w:line="276" w:lineRule="auto"/>
        <w:jc w:val="both"/>
        <w:rPr>
          <w:rFonts w:cstheme="minorHAnsi"/>
          <w:sz w:val="24"/>
          <w:szCs w:val="24"/>
        </w:rPr>
      </w:pPr>
      <w:r>
        <w:rPr>
          <w:rFonts w:cstheme="minorHAnsi"/>
          <w:sz w:val="24"/>
          <w:szCs w:val="24"/>
        </w:rPr>
        <w:t>Znanje</w:t>
      </w:r>
    </w:p>
    <w:p w14:paraId="7A048CF5">
      <w:pPr>
        <w:pStyle w:val="25"/>
        <w:numPr>
          <w:ilvl w:val="0"/>
          <w:numId w:val="3"/>
        </w:numPr>
        <w:tabs>
          <w:tab w:val="center" w:pos="4680"/>
        </w:tabs>
        <w:spacing w:line="276" w:lineRule="auto"/>
        <w:jc w:val="both"/>
        <w:rPr>
          <w:rFonts w:cstheme="minorHAnsi"/>
          <w:sz w:val="24"/>
          <w:szCs w:val="24"/>
        </w:rPr>
      </w:pPr>
      <w:r>
        <w:rPr>
          <w:rFonts w:cstheme="minorHAnsi"/>
          <w:sz w:val="24"/>
          <w:szCs w:val="24"/>
        </w:rPr>
        <w:t>Identitet</w:t>
      </w:r>
    </w:p>
    <w:p w14:paraId="1BA08246">
      <w:pPr>
        <w:pStyle w:val="25"/>
        <w:numPr>
          <w:ilvl w:val="0"/>
          <w:numId w:val="3"/>
        </w:numPr>
        <w:tabs>
          <w:tab w:val="center" w:pos="4680"/>
        </w:tabs>
        <w:spacing w:line="276" w:lineRule="auto"/>
        <w:jc w:val="both"/>
        <w:rPr>
          <w:rFonts w:cstheme="minorHAnsi"/>
          <w:sz w:val="24"/>
          <w:szCs w:val="24"/>
        </w:rPr>
      </w:pPr>
      <w:r>
        <w:rPr>
          <w:rFonts w:cstheme="minorHAnsi"/>
          <w:sz w:val="24"/>
          <w:szCs w:val="24"/>
        </w:rPr>
        <w:t>Humanizam i tolerancija</w:t>
      </w:r>
    </w:p>
    <w:p w14:paraId="77B2873A">
      <w:pPr>
        <w:pStyle w:val="25"/>
        <w:numPr>
          <w:ilvl w:val="0"/>
          <w:numId w:val="3"/>
        </w:numPr>
        <w:tabs>
          <w:tab w:val="center" w:pos="4680"/>
        </w:tabs>
        <w:spacing w:line="276" w:lineRule="auto"/>
        <w:jc w:val="both"/>
        <w:rPr>
          <w:rFonts w:cstheme="minorHAnsi"/>
          <w:sz w:val="24"/>
          <w:szCs w:val="24"/>
        </w:rPr>
      </w:pPr>
      <w:r>
        <w:rPr>
          <w:rFonts w:cstheme="minorHAnsi"/>
          <w:sz w:val="24"/>
          <w:szCs w:val="24"/>
        </w:rPr>
        <w:t>Odgovornost</w:t>
      </w:r>
    </w:p>
    <w:p w14:paraId="16FAA712">
      <w:pPr>
        <w:pStyle w:val="25"/>
        <w:numPr>
          <w:ilvl w:val="0"/>
          <w:numId w:val="3"/>
        </w:numPr>
        <w:tabs>
          <w:tab w:val="center" w:pos="4680"/>
        </w:tabs>
        <w:spacing w:line="276" w:lineRule="auto"/>
        <w:jc w:val="both"/>
        <w:rPr>
          <w:rFonts w:cstheme="minorHAnsi"/>
          <w:sz w:val="24"/>
          <w:szCs w:val="24"/>
        </w:rPr>
      </w:pPr>
      <w:r>
        <w:rPr>
          <w:rFonts w:cstheme="minorHAnsi"/>
          <w:sz w:val="24"/>
          <w:szCs w:val="24"/>
        </w:rPr>
        <w:t>Autonomija</w:t>
      </w:r>
    </w:p>
    <w:p w14:paraId="28E81FB4">
      <w:pPr>
        <w:pStyle w:val="25"/>
        <w:numPr>
          <w:ilvl w:val="0"/>
          <w:numId w:val="3"/>
        </w:numPr>
        <w:tabs>
          <w:tab w:val="center" w:pos="4680"/>
        </w:tabs>
        <w:spacing w:line="276" w:lineRule="auto"/>
        <w:jc w:val="both"/>
        <w:rPr>
          <w:rFonts w:cstheme="minorHAnsi"/>
          <w:sz w:val="24"/>
          <w:szCs w:val="24"/>
        </w:rPr>
      </w:pPr>
      <w:r>
        <w:rPr>
          <w:rFonts w:cstheme="minorHAnsi"/>
          <w:sz w:val="24"/>
          <w:szCs w:val="24"/>
        </w:rPr>
        <w:t xml:space="preserve">Kreativnost  </w:t>
      </w:r>
    </w:p>
    <w:p w14:paraId="7A4A933B">
      <w:pPr>
        <w:pStyle w:val="26"/>
        <w:spacing w:before="0" w:beforeAutospacing="0" w:after="0" w:afterAutospacing="0" w:line="276" w:lineRule="auto"/>
        <w:ind w:firstLine="360"/>
        <w:jc w:val="both"/>
        <w:rPr>
          <w:rFonts w:asciiTheme="minorHAnsi" w:hAnsiTheme="minorHAnsi" w:cstheme="minorHAnsi"/>
        </w:rPr>
      </w:pPr>
      <w:r>
        <w:rPr>
          <w:rFonts w:asciiTheme="minorHAnsi" w:hAnsiTheme="minorHAnsi" w:cstheme="minorHAnsi"/>
          <w:b/>
        </w:rPr>
        <w:t xml:space="preserve">Znanje </w:t>
      </w:r>
      <w:r>
        <w:rPr>
          <w:rFonts w:asciiTheme="minorHAnsi" w:hAnsiTheme="minorHAnsi" w:cstheme="minorHAnsi"/>
        </w:rPr>
        <w:t xml:space="preserve">predstavlja jedan od najvažnijih čimbenika razvoja svakog pojedinca jer omogućuje razumijevanje svijeta, kritičko promišljanje, uspješno rješavanje problema i snalaženje u svakodnevnim situacijama. U dječjem vrtiću djeca znanje stječu kroz igru, istraživanje i različite aktivnosti koje potiču njihovu prirodnu znatiželju i istraživački duh. Jednako je važan razvoj </w:t>
      </w:r>
      <w:r>
        <w:rPr>
          <w:rFonts w:asciiTheme="minorHAnsi" w:hAnsiTheme="minorHAnsi" w:cstheme="minorHAnsi"/>
          <w:b/>
        </w:rPr>
        <w:t>osobnog identiteta</w:t>
      </w:r>
      <w:r>
        <w:rPr>
          <w:rFonts w:asciiTheme="minorHAnsi" w:hAnsiTheme="minorHAnsi" w:cstheme="minorHAnsi"/>
        </w:rPr>
        <w:t>, kojim se kod djece razvijaju samopoštovanje, pozitivna slika o sebi i osjećaj sigurnosti u vlastitom okruženju. Odgojno-obrazovni rad u vrtiću temelji se na prihvaćanju individualnosti svakog djeteta te na uklanjanju stereotipa i predrasuda, bez obzira na njihove različitosti.</w:t>
      </w:r>
      <w:r>
        <w:rPr>
          <w:rFonts w:asciiTheme="minorHAnsi" w:hAnsiTheme="minorHAnsi" w:cstheme="minorHAnsi"/>
          <w:b/>
        </w:rPr>
        <w:t xml:space="preserve"> Humanizam i tolerancija</w:t>
      </w:r>
      <w:r>
        <w:rPr>
          <w:rFonts w:asciiTheme="minorHAnsi" w:hAnsiTheme="minorHAnsi" w:cstheme="minorHAnsi"/>
        </w:rPr>
        <w:t xml:space="preserve"> podrazumijevaju razvijanje vrijednosti poput poštovanja, prihvaćanja i suosjećanja prema drugim ljudima. Odgojno-obrazovne aktivnosti trebaju djeci pomoći da razviju osjetljivost prema drugima te da prihvate različitosti koje proizlaze iz kulturne, etničke, nacionalne, vjerske, rodne ili socijalne pripadnosti. Vrtić također ima važnu ulogu u razvoju </w:t>
      </w:r>
      <w:r>
        <w:rPr>
          <w:rFonts w:asciiTheme="minorHAnsi" w:hAnsiTheme="minorHAnsi" w:cstheme="minorHAnsi"/>
          <w:b/>
        </w:rPr>
        <w:t>odgovornosti</w:t>
      </w:r>
      <w:r>
        <w:rPr>
          <w:rFonts w:asciiTheme="minorHAnsi" w:hAnsiTheme="minorHAnsi" w:cstheme="minorHAnsi"/>
        </w:rPr>
        <w:t xml:space="preserve"> kod djece. Kroz svakodnevne aktivnosti djeca uče preuzimati odgovornost prema sebi, drugim ljudima, prirodi i zajednici. Upoznaju svoja prava i obveze te razvijaju svijest o tome kako svojim ponašanjem mogu pridonijeti zajedničkom dobru.</w:t>
      </w:r>
    </w:p>
    <w:p w14:paraId="6CD9CA00">
      <w:pPr>
        <w:pStyle w:val="26"/>
        <w:spacing w:before="0" w:beforeAutospacing="0" w:after="0" w:afterAutospacing="0" w:line="276" w:lineRule="auto"/>
        <w:ind w:firstLine="360"/>
        <w:jc w:val="both"/>
        <w:rPr>
          <w:rFonts w:asciiTheme="minorHAnsi" w:hAnsiTheme="minorHAnsi" w:cstheme="minorHAnsi"/>
        </w:rPr>
      </w:pPr>
      <w:r>
        <w:rPr>
          <w:rFonts w:asciiTheme="minorHAnsi" w:hAnsiTheme="minorHAnsi" w:cstheme="minorHAnsi"/>
        </w:rPr>
        <w:t xml:space="preserve">Razvoj </w:t>
      </w:r>
      <w:r>
        <w:rPr>
          <w:rFonts w:asciiTheme="minorHAnsi" w:hAnsiTheme="minorHAnsi" w:cstheme="minorHAnsi"/>
          <w:b/>
        </w:rPr>
        <w:t xml:space="preserve">autonomije </w:t>
      </w:r>
      <w:r>
        <w:rPr>
          <w:rFonts w:asciiTheme="minorHAnsi" w:hAnsiTheme="minorHAnsi" w:cstheme="minorHAnsi"/>
        </w:rPr>
        <w:t xml:space="preserve">podrazumijeva poticanje djece na samostalno donošenje odluka, preuzimanje inicijative i organiziranje vlastitih aktivnosti. Takav razvoj moguć je u okruženju koje djeci pruža osjećaj sigurnosti, međusobnog poštovanja i prihvaćanja te potiče izgradnju kvalitetnih odnosa između djece i odraslih. </w:t>
      </w:r>
      <w:r>
        <w:rPr>
          <w:rFonts w:asciiTheme="minorHAnsi" w:hAnsiTheme="minorHAnsi" w:cstheme="minorHAnsi"/>
          <w:b/>
        </w:rPr>
        <w:t>Kreativnost</w:t>
      </w:r>
      <w:r>
        <w:rPr>
          <w:rFonts w:asciiTheme="minorHAnsi" w:hAnsiTheme="minorHAnsi" w:cstheme="minorHAnsi"/>
        </w:rPr>
        <w:t xml:space="preserve"> je jedna od temeljnih vrijednosti koju vrtić razvija stvaranjem okruženja koje djeci omogućuje slobodno izražavanje ideja, mašte i stvaralaštva. Kroz različite aktivnosti djeca razvijaju divergentno mišljenje, pronalaze različita rješenja problema i izražavaju svoju kreativnost u svim područjima učenja.</w:t>
      </w:r>
    </w:p>
    <w:p w14:paraId="59B643D3">
      <w:pPr>
        <w:pStyle w:val="26"/>
        <w:spacing w:before="0" w:beforeAutospacing="0" w:after="0" w:afterAutospacing="0" w:line="276" w:lineRule="auto"/>
        <w:ind w:firstLine="360"/>
        <w:jc w:val="both"/>
        <w:rPr>
          <w:rFonts w:asciiTheme="minorHAnsi" w:hAnsiTheme="minorHAnsi" w:cstheme="minorHAnsi"/>
          <w:b/>
        </w:rPr>
      </w:pPr>
    </w:p>
    <w:p w14:paraId="7A275B3B">
      <w:pPr>
        <w:pStyle w:val="3"/>
        <w:rPr>
          <w:rFonts w:asciiTheme="minorHAnsi" w:hAnsiTheme="minorHAnsi" w:cstheme="minorHAnsi"/>
        </w:rPr>
      </w:pPr>
      <w:r>
        <w:rPr>
          <w:rFonts w:asciiTheme="minorHAnsi" w:hAnsiTheme="minorHAnsi" w:cstheme="minorHAnsi"/>
        </w:rPr>
        <w:t>Ciljevi kurikula</w:t>
      </w:r>
    </w:p>
    <w:p w14:paraId="3DB43E8F">
      <w:pPr>
        <w:pStyle w:val="20"/>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Prema Nacionalnom kurikulu za rani i predškolski odgoj i obrazovanje, temeljni cilj je </w:t>
      </w:r>
      <w:r>
        <w:rPr>
          <w:rFonts w:asciiTheme="minorHAnsi" w:hAnsiTheme="minorHAnsi" w:cstheme="minorHAnsi"/>
          <w:b/>
          <w:bCs/>
        </w:rPr>
        <w:t>osigurati dobrobit djeteta</w:t>
      </w:r>
      <w:r>
        <w:rPr>
          <w:rFonts w:asciiTheme="minorHAnsi" w:hAnsiTheme="minorHAnsi" w:cstheme="minorHAnsi"/>
        </w:rPr>
        <w:t xml:space="preserve"> kroz cjelovit razvoj, odgoj, učenje i razvoj kompetencija potrebnih za život i cjeloživotno učenje. Djetetu se nastoji osigurati sve što je neophodno za ostvarivanje: </w:t>
      </w:r>
    </w:p>
    <w:p w14:paraId="2B18555B">
      <w:pPr>
        <w:pStyle w:val="20"/>
        <w:numPr>
          <w:ilvl w:val="0"/>
          <w:numId w:val="4"/>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osobne, emocionalne i tjelesne dobrobiti (zdravlje, osjećaj sigurnosti i emocionalne podrške)</w:t>
      </w:r>
    </w:p>
    <w:p w14:paraId="22750352">
      <w:pPr>
        <w:pStyle w:val="20"/>
        <w:numPr>
          <w:ilvl w:val="0"/>
          <w:numId w:val="4"/>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obrazovne dobrobiti (učenje kroz igru, aktivno istraživanje, učenje odnosa u socijalnoj okolini</w:t>
      </w:r>
    </w:p>
    <w:p w14:paraId="7FEF3421">
      <w:pPr>
        <w:pStyle w:val="20"/>
        <w:numPr>
          <w:ilvl w:val="0"/>
          <w:numId w:val="4"/>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socijalne dobrobiti (osjećaj pripadanja, razumijevanja za interese i potrebe, jednake šanse za svako dijete, učenje različitih načina verbalne/neverbalne komunikacija)</w:t>
      </w:r>
    </w:p>
    <w:p w14:paraId="16AFBFCA">
      <w:pPr>
        <w:pStyle w:val="20"/>
        <w:spacing w:before="120" w:beforeLines="50" w:beforeAutospacing="0" w:after="120" w:afterLines="50" w:afterAutospacing="0" w:line="276" w:lineRule="auto"/>
        <w:ind w:firstLine="426"/>
        <w:jc w:val="both"/>
        <w:rPr>
          <w:rFonts w:asciiTheme="minorHAnsi" w:hAnsiTheme="minorHAnsi" w:cstheme="minorHAnsi"/>
        </w:rPr>
      </w:pPr>
      <w:r>
        <w:rPr>
          <w:rFonts w:asciiTheme="minorHAnsi" w:hAnsiTheme="minorHAnsi" w:cstheme="minorHAnsi"/>
        </w:rPr>
        <w:t>Dijete uči aktivno, iskustvom, kroz igru. Stoga je vrlo važno stjecanje kompetencija za cjeloživotno učenje u svim područjima razvoja:</w:t>
      </w:r>
    </w:p>
    <w:p w14:paraId="6079278F">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komunikacija na materinskom jeziku,</w:t>
      </w:r>
    </w:p>
    <w:p w14:paraId="57E277BE">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komunikacija na stranom jeziku,</w:t>
      </w:r>
    </w:p>
    <w:p w14:paraId="187CD826">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matematička kompetencija i osnovne kompetencije u prirodoslovlju,</w:t>
      </w:r>
    </w:p>
    <w:p w14:paraId="39646347">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digitalna kompetencija,</w:t>
      </w:r>
    </w:p>
    <w:p w14:paraId="77699070">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učiti kako učiti,</w:t>
      </w:r>
    </w:p>
    <w:p w14:paraId="7F30D39C">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 xml:space="preserve">socijalna i građanska kompetencija, </w:t>
      </w:r>
    </w:p>
    <w:p w14:paraId="337A116E">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inicijativnost i poduzetnost,</w:t>
      </w:r>
    </w:p>
    <w:p w14:paraId="0C85C4CF">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kulturna svijest i izražavanje, te</w:t>
      </w:r>
    </w:p>
    <w:p w14:paraId="47D9F3AB">
      <w:pPr>
        <w:pStyle w:val="20"/>
        <w:numPr>
          <w:ilvl w:val="0"/>
          <w:numId w:val="5"/>
        </w:numPr>
        <w:spacing w:before="120" w:beforeLines="50" w:beforeAutospacing="0" w:after="120" w:afterLines="50" w:afterAutospacing="0" w:line="276" w:lineRule="auto"/>
        <w:rPr>
          <w:rFonts w:asciiTheme="minorHAnsi" w:hAnsiTheme="minorHAnsi" w:cstheme="minorHAnsi"/>
        </w:rPr>
      </w:pPr>
      <w:r>
        <w:rPr>
          <w:rFonts w:asciiTheme="minorHAnsi" w:hAnsiTheme="minorHAnsi" w:cstheme="minorHAnsi"/>
        </w:rPr>
        <w:t>motorička kompetencija.</w:t>
      </w:r>
    </w:p>
    <w:p w14:paraId="631048E4">
      <w:pPr>
        <w:pStyle w:val="20"/>
        <w:spacing w:before="120" w:beforeLines="50" w:beforeAutospacing="0" w:after="120" w:afterLines="50" w:afterAutospacing="0" w:line="276" w:lineRule="auto"/>
        <w:ind w:left="720"/>
        <w:rPr>
          <w:rFonts w:asciiTheme="minorHAnsi" w:hAnsiTheme="minorHAnsi" w:cstheme="minorHAnsi"/>
        </w:rPr>
      </w:pPr>
    </w:p>
    <w:p w14:paraId="402DEF6B">
      <w:pPr>
        <w:pStyle w:val="3"/>
        <w:rPr>
          <w:rFonts w:asciiTheme="minorHAnsi" w:hAnsiTheme="minorHAnsi" w:cstheme="minorHAnsi"/>
        </w:rPr>
      </w:pPr>
      <w:r>
        <w:rPr>
          <w:rFonts w:asciiTheme="minorHAnsi" w:hAnsiTheme="minorHAnsi" w:cstheme="minorHAnsi"/>
        </w:rPr>
        <w:t>Struktura kurikula</w:t>
      </w:r>
    </w:p>
    <w:p w14:paraId="3D46C033">
      <w:pPr>
        <w:pBdr>
          <w:bottom w:val="none" w:color="0A0A0A" w:sz="0" w:space="0"/>
        </w:pBdr>
        <w:spacing w:after="0" w:line="276" w:lineRule="auto"/>
        <w:ind w:firstLine="426"/>
        <w:jc w:val="both"/>
        <w:rPr>
          <w:rFonts w:eastAsia="Arial" w:cstheme="minorHAnsi"/>
          <w:sz w:val="24"/>
          <w:szCs w:val="24"/>
        </w:rPr>
      </w:pPr>
      <w:r>
        <w:rPr>
          <w:rFonts w:eastAsia="Arial" w:cstheme="minorHAnsi"/>
          <w:sz w:val="24"/>
          <w:szCs w:val="24"/>
          <w:lang w:eastAsia="zh-CN" w:bidi="ar"/>
        </w:rPr>
        <w:t>Polazište za planiranje i provođenje odgojno-obrazovnog procesa u našoj ustanovi čini integrirana struktura podijeljena na tri ključna makropodručja. Kroz njih dijete aktivno sukonstruira znanje te razvija ključne kompetencije i cjelovitu dobrobit:</w:t>
      </w:r>
    </w:p>
    <w:p w14:paraId="1ED441CE">
      <w:pPr>
        <w:pStyle w:val="25"/>
        <w:numPr>
          <w:ilvl w:val="0"/>
          <w:numId w:val="6"/>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ja (slika o sebi)</w:t>
      </w:r>
      <w:r>
        <w:rPr>
          <w:rFonts w:eastAsia="Arial" w:cstheme="minorHAnsi"/>
          <w:sz w:val="24"/>
          <w:szCs w:val="24"/>
        </w:rPr>
        <w:t xml:space="preserve"> – područje usmjereno na izgradnju osobnog identiteta, jačanje samopoštovanja, prepoznavanje i izražavanje vlastitih potreba i osjećaja te razvoj autonomije i samostalnosti djeteta.</w:t>
      </w:r>
    </w:p>
    <w:p w14:paraId="4783A5FC">
      <w:pPr>
        <w:pStyle w:val="25"/>
        <w:numPr>
          <w:ilvl w:val="0"/>
          <w:numId w:val="6"/>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ja i drugi</w:t>
      </w:r>
      <w:r>
        <w:rPr>
          <w:rFonts w:eastAsia="Arial" w:cstheme="minorHAnsi"/>
          <w:sz w:val="24"/>
          <w:szCs w:val="24"/>
        </w:rPr>
        <w:t xml:space="preserve"> – područje orijentirano na socijalizaciju i interakciju s okolinom (obitelj, vršnjaci, odgojitelji, vrtićka i lokalna zajednica). Naglasak je na razvoju empatije, prosocijalnog ponašanja, suradnje i nenasilnog rješavanja sukoba.</w:t>
      </w:r>
    </w:p>
    <w:p w14:paraId="6142D48A">
      <w:pPr>
        <w:pStyle w:val="25"/>
        <w:numPr>
          <w:ilvl w:val="0"/>
          <w:numId w:val="6"/>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svijet oko mene</w:t>
      </w:r>
      <w:r>
        <w:rPr>
          <w:rFonts w:eastAsia="Arial" w:cstheme="minorHAnsi"/>
          <w:sz w:val="24"/>
          <w:szCs w:val="24"/>
        </w:rPr>
        <w:t xml:space="preserve"> – područje koje potiče prirodnu dječju radoznalost, istraživanje i aktivno upoznavanje prirodnog, društvenog i kulturnog okružja. Obuhvaća aspekte održivog razvoja, ekološke osjetljivosti i očuvanja kulturne baštine.</w:t>
      </w:r>
    </w:p>
    <w:p w14:paraId="5BE0A9F1">
      <w:pPr>
        <w:pBdr>
          <w:bottom w:val="none" w:color="0A0A0A" w:sz="0" w:space="0"/>
        </w:pBdr>
        <w:spacing w:after="0" w:line="276" w:lineRule="auto"/>
        <w:ind w:firstLine="426"/>
        <w:jc w:val="both"/>
        <w:rPr>
          <w:rFonts w:eastAsia="Arial" w:cstheme="minorHAnsi"/>
          <w:sz w:val="24"/>
          <w:szCs w:val="24"/>
        </w:rPr>
      </w:pPr>
      <w:r>
        <w:rPr>
          <w:rFonts w:eastAsia="Arial" w:cstheme="minorHAnsi"/>
          <w:sz w:val="24"/>
          <w:szCs w:val="24"/>
          <w:lang w:eastAsia="zh-CN" w:bidi="ar"/>
        </w:rPr>
        <w:t>Unutar svakog od navedenih područja planiraju se i provode sadržaji i aktivnosti koji povezuju pedagoške i razvojne dimenzije odgoja i obrazovanja. Kreiranjem poticajnog materijalnog i socijalnog okruženja te osiguravanjem optimalnih uvjeta za učenje kroz igru, sustavno se potiče cjelovit razvoj djeteta kroz četiri temeljna područja:</w:t>
      </w:r>
    </w:p>
    <w:p w14:paraId="46598DDE">
      <w:pPr>
        <w:pStyle w:val="25"/>
        <w:numPr>
          <w:ilvl w:val="0"/>
          <w:numId w:val="7"/>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tjelesni i motorički razvoj</w:t>
      </w:r>
      <w:r>
        <w:rPr>
          <w:rFonts w:eastAsia="Arial" w:cstheme="minorHAnsi"/>
          <w:sz w:val="24"/>
          <w:szCs w:val="24"/>
        </w:rPr>
        <w:t xml:space="preserve"> (razvoj krupne i fine motorike, senzornih sposobnosti te briga o zdravlju i sigurnosti).</w:t>
      </w:r>
    </w:p>
    <w:p w14:paraId="603022E8">
      <w:pPr>
        <w:pStyle w:val="25"/>
        <w:numPr>
          <w:ilvl w:val="0"/>
          <w:numId w:val="7"/>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socioemocionalni razvoj</w:t>
      </w:r>
      <w:r>
        <w:rPr>
          <w:rFonts w:eastAsia="Arial" w:cstheme="minorHAnsi"/>
          <w:sz w:val="24"/>
          <w:szCs w:val="24"/>
        </w:rPr>
        <w:t xml:space="preserve"> (emocionalna stabilnost, samoregulacija emocija i razvoj socijalnih vještina).</w:t>
      </w:r>
    </w:p>
    <w:p w14:paraId="7DB5E0E4">
      <w:pPr>
        <w:pStyle w:val="25"/>
        <w:numPr>
          <w:ilvl w:val="0"/>
          <w:numId w:val="7"/>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spoznajni (kognitivni) razvoj</w:t>
      </w:r>
      <w:r>
        <w:rPr>
          <w:rFonts w:eastAsia="Arial" w:cstheme="minorHAnsi"/>
          <w:sz w:val="24"/>
          <w:szCs w:val="24"/>
        </w:rPr>
        <w:t xml:space="preserve"> (rješavanje problema, logičko mišljenje, istraživački duh i kreativnost).</w:t>
      </w:r>
    </w:p>
    <w:p w14:paraId="29E84795">
      <w:pPr>
        <w:pStyle w:val="25"/>
        <w:numPr>
          <w:ilvl w:val="0"/>
          <w:numId w:val="7"/>
        </w:numPr>
        <w:pBdr>
          <w:bottom w:val="none" w:color="0A0A0A" w:sz="0" w:space="0"/>
        </w:pBdr>
        <w:spacing w:after="0" w:line="276" w:lineRule="auto"/>
        <w:jc w:val="both"/>
        <w:rPr>
          <w:rFonts w:eastAsia="Arial" w:cstheme="minorHAnsi"/>
          <w:sz w:val="24"/>
          <w:szCs w:val="24"/>
        </w:rPr>
      </w:pPr>
      <w:r>
        <w:rPr>
          <w:rFonts w:eastAsia="Arial" w:cstheme="minorHAnsi"/>
          <w:b/>
          <w:bCs/>
          <w:sz w:val="24"/>
          <w:szCs w:val="24"/>
        </w:rPr>
        <w:t>g</w:t>
      </w:r>
      <w:r>
        <w:rPr>
          <w:rStyle w:val="21"/>
          <w:rFonts w:eastAsia="Arial" w:cstheme="minorHAnsi"/>
          <w:sz w:val="24"/>
          <w:szCs w:val="24"/>
        </w:rPr>
        <w:t>ovorni i komunikacijski razvoj</w:t>
      </w:r>
      <w:r>
        <w:rPr>
          <w:rFonts w:eastAsia="Arial" w:cstheme="minorHAnsi"/>
          <w:sz w:val="24"/>
          <w:szCs w:val="24"/>
        </w:rPr>
        <w:t xml:space="preserve"> (verbalno i neverbalno izražavanje, bogaćenje rječnika i predkomunikacijske vještine).</w:t>
      </w:r>
    </w:p>
    <w:p w14:paraId="4F0EF11A">
      <w:pPr>
        <w:pBdr>
          <w:bottom w:val="none" w:color="0A0A0A" w:sz="0" w:space="0"/>
        </w:pBdr>
        <w:spacing w:after="0" w:line="276" w:lineRule="auto"/>
        <w:ind w:firstLine="426"/>
        <w:jc w:val="both"/>
        <w:rPr>
          <w:rFonts w:eastAsia="Arial" w:cstheme="minorHAnsi"/>
          <w:sz w:val="24"/>
          <w:szCs w:val="24"/>
          <w:lang w:eastAsia="zh-CN" w:bidi="ar"/>
        </w:rPr>
      </w:pPr>
      <w:r>
        <w:rPr>
          <w:rFonts w:eastAsia="Arial" w:cstheme="minorHAnsi"/>
          <w:sz w:val="24"/>
          <w:szCs w:val="24"/>
          <w:lang w:eastAsia="zh-CN" w:bidi="ar"/>
        </w:rPr>
        <w:t>Ovakav pristup osigurava da odgojno-obrazovni rad ne bude rascjepkan na izolirane aktivnosti, već da djeluje skladno na djetetovu osobnu, emocionalnu, tjelesnu i socijalnu dobrobit.</w:t>
      </w:r>
    </w:p>
    <w:p w14:paraId="0B444159">
      <w:pPr>
        <w:pBdr>
          <w:bottom w:val="none" w:color="0A0A0A" w:sz="0" w:space="0"/>
        </w:pBdr>
        <w:spacing w:after="0" w:line="276" w:lineRule="auto"/>
        <w:rPr>
          <w:rFonts w:eastAsia="Arial" w:cstheme="minorHAnsi"/>
          <w:sz w:val="27"/>
          <w:szCs w:val="27"/>
          <w:lang w:eastAsia="zh-CN" w:bidi="ar"/>
        </w:rPr>
      </w:pPr>
    </w:p>
    <w:p w14:paraId="19D044D7">
      <w:pPr>
        <w:pStyle w:val="3"/>
        <w:rPr>
          <w:rFonts w:eastAsia="Arial" w:asciiTheme="minorHAnsi" w:hAnsiTheme="minorHAnsi" w:cstheme="minorHAnsi"/>
        </w:rPr>
      </w:pPr>
      <w:r>
        <w:rPr>
          <w:rFonts w:eastAsia="Arial" w:asciiTheme="minorHAnsi" w:hAnsiTheme="minorHAnsi" w:cstheme="minorHAnsi"/>
        </w:rPr>
        <w:t>Planiranje i oblikovanje kurikula</w:t>
      </w:r>
    </w:p>
    <w:p w14:paraId="65EDA1D4">
      <w:pPr>
        <w:pBdr>
          <w:bottom w:val="none" w:color="0A0A0A" w:sz="0" w:space="0"/>
        </w:pBdr>
        <w:spacing w:after="0" w:line="276" w:lineRule="auto"/>
        <w:ind w:firstLine="426"/>
        <w:jc w:val="both"/>
        <w:rPr>
          <w:rFonts w:eastAsia="Arial" w:cstheme="minorHAnsi"/>
          <w:sz w:val="24"/>
          <w:szCs w:val="24"/>
          <w:lang w:eastAsia="zh-CN" w:bidi="ar"/>
        </w:rPr>
      </w:pPr>
      <w:r>
        <w:rPr>
          <w:rFonts w:eastAsia="Arial" w:cstheme="minorHAnsi"/>
          <w:sz w:val="24"/>
          <w:szCs w:val="24"/>
          <w:lang w:eastAsia="zh-CN" w:bidi="ar"/>
        </w:rPr>
        <w:t xml:space="preserve">Utemeljenje uspješnog kurikula počiva na kontinuiranoj profesionalnoj refleksiji i partnerskoj suradnji odgojitelja i stručnih suradnika ustanove. Planiranje odgojno-obrazovnog rada shvaćamo kao dinamičan proces koji obuhvaća zajedničko promišljanje, realizaciju te stalnu evaluaciju i kritičko preispitivanje prakse. Vođeni smo krilaticom da je kvalitetna  praksa </w:t>
      </w:r>
      <w:r>
        <w:rPr>
          <w:rStyle w:val="21"/>
          <w:rFonts w:eastAsia="Arial" w:cstheme="minorHAnsi"/>
          <w:b w:val="0"/>
          <w:bCs w:val="0"/>
          <w:sz w:val="24"/>
          <w:szCs w:val="24"/>
          <w:lang w:eastAsia="zh-CN" w:bidi="ar"/>
        </w:rPr>
        <w:t>kolektivno, a ne individualno postignuće te</w:t>
      </w:r>
      <w:r>
        <w:rPr>
          <w:rStyle w:val="21"/>
          <w:rFonts w:eastAsia="Arial" w:cstheme="minorHAnsi"/>
          <w:sz w:val="24"/>
          <w:szCs w:val="24"/>
          <w:lang w:eastAsia="zh-CN" w:bidi="ar"/>
        </w:rPr>
        <w:t xml:space="preserve"> </w:t>
      </w:r>
      <w:r>
        <w:rPr>
          <w:rFonts w:eastAsia="Arial" w:cstheme="minorHAnsi"/>
          <w:sz w:val="24"/>
          <w:szCs w:val="24"/>
          <w:lang w:eastAsia="zh-CN" w:bidi="ar"/>
        </w:rPr>
        <w:t>zbog toga potičemo kulturu učenja u zajednici i razmjenu profesionalnih iskustava.</w:t>
      </w:r>
    </w:p>
    <w:p w14:paraId="686624EB">
      <w:pPr>
        <w:pBdr>
          <w:bottom w:val="none" w:color="0A0A0A" w:sz="0" w:space="0"/>
        </w:pBdr>
        <w:spacing w:after="0" w:line="276" w:lineRule="auto"/>
        <w:ind w:firstLine="426"/>
        <w:jc w:val="both"/>
        <w:rPr>
          <w:rFonts w:eastAsia="Arial" w:cstheme="minorHAnsi"/>
          <w:sz w:val="24"/>
          <w:szCs w:val="24"/>
          <w:lang w:eastAsia="zh-CN" w:bidi="ar"/>
        </w:rPr>
      </w:pPr>
      <w:r>
        <w:rPr>
          <w:rFonts w:eastAsia="Arial" w:cstheme="minorHAnsi"/>
          <w:sz w:val="24"/>
          <w:szCs w:val="24"/>
          <w:lang w:eastAsia="zh-CN" w:bidi="ar"/>
        </w:rPr>
        <w:t xml:space="preserve">Dokumentiranje odgojno-obrazovnog procesa u našem vrtiću je ključni alat za dublje razumijevanje djeteta, njegovih akcija, interesa, sposobnosti i strategija učenja. Provodi se kroz kontinuirano prikupljanje raznovrsne pedagoške dokumentacije (etnografskih zapisa), što odgojiteljima omogućuje pružanje pravovremene i ciljane potpore cjelovitom razvoju svakog djeteta. Svrha dokumentiranja nije normativno ocjenjivanje, svrstavanje djeteta u nefleksibilne razvojne kategorije niti uspoređivanje s drugom djecom. Primarni cilj je </w:t>
      </w:r>
      <w:r>
        <w:rPr>
          <w:rStyle w:val="21"/>
          <w:rFonts w:eastAsia="Arial" w:cstheme="minorHAnsi"/>
          <w:b w:val="0"/>
          <w:bCs w:val="0"/>
          <w:sz w:val="24"/>
          <w:szCs w:val="24"/>
          <w:lang w:eastAsia="zh-CN" w:bidi="ar"/>
        </w:rPr>
        <w:t>istinski razumjeti dijete u njegovu jedinstvenom kontekstu</w:t>
      </w:r>
      <w:r>
        <w:rPr>
          <w:rFonts w:eastAsia="Arial" w:cstheme="minorHAnsi"/>
          <w:sz w:val="24"/>
          <w:szCs w:val="24"/>
          <w:lang w:eastAsia="zh-CN" w:bidi="ar"/>
        </w:rPr>
        <w:t xml:space="preserve"> te na tim temeljima sukonstruirati daljnje korake učenja.</w:t>
      </w:r>
    </w:p>
    <w:p w14:paraId="5F3E2797">
      <w:pPr>
        <w:pBdr>
          <w:bottom w:val="none" w:color="0A0A0A" w:sz="0" w:space="0"/>
        </w:pBdr>
        <w:spacing w:after="0" w:line="276" w:lineRule="auto"/>
        <w:ind w:firstLine="426"/>
        <w:jc w:val="both"/>
        <w:rPr>
          <w:rFonts w:eastAsia="Arial" w:cstheme="minorHAnsi"/>
          <w:sz w:val="24"/>
          <w:szCs w:val="24"/>
          <w:lang w:eastAsia="zh-CN" w:bidi="ar"/>
        </w:rPr>
      </w:pPr>
      <w:r>
        <w:rPr>
          <w:rFonts w:eastAsia="Arial" w:cstheme="minorHAnsi"/>
          <w:sz w:val="24"/>
          <w:szCs w:val="24"/>
          <w:lang w:eastAsia="zh-CN" w:bidi="ar"/>
        </w:rPr>
        <w:t>Prikupljena dokumentacija ima snažnu ulogu u građenju otvorenog i podržavajućeg partnerstva s roditeljima odnosno skrbnicima. Vizualizacijom i prezentacijom dječjih procesa učenja (kroz dječje mape: portfolije, panoe, digitalne platforme), roditeljima činimo vidljivim svakodnevni život djeteta u vrtiću. Ovakav pristup olakšava obiteljima dublje razumijevanje faza djetetova razvoja i prirode predškolskog odgoja, čime izravno osnažujemo njihove roditeljske kompetencije i gradimo odnos uzajamnog povjerenja.</w:t>
      </w:r>
    </w:p>
    <w:p w14:paraId="14F8EC8F">
      <w:pPr>
        <w:pBdr>
          <w:bottom w:val="none" w:color="0A0A0A" w:sz="0" w:space="0"/>
        </w:pBdr>
        <w:spacing w:after="0" w:line="276" w:lineRule="auto"/>
        <w:jc w:val="both"/>
        <w:rPr>
          <w:rFonts w:eastAsia="Arial" w:cstheme="minorHAnsi"/>
          <w:sz w:val="24"/>
          <w:szCs w:val="24"/>
          <w:lang w:eastAsia="zh-CN" w:bidi="ar"/>
        </w:rPr>
      </w:pPr>
    </w:p>
    <w:p w14:paraId="6E81C769">
      <w:pPr>
        <w:pStyle w:val="3"/>
        <w:rPr>
          <w:rFonts w:eastAsia="Arial" w:asciiTheme="minorHAnsi" w:hAnsiTheme="minorHAnsi" w:cstheme="minorHAnsi"/>
          <w:lang w:bidi="ar"/>
        </w:rPr>
      </w:pPr>
      <w:r>
        <w:rPr>
          <w:rFonts w:eastAsia="Arial" w:asciiTheme="minorHAnsi" w:hAnsiTheme="minorHAnsi" w:cstheme="minorHAnsi"/>
          <w:lang w:bidi="ar"/>
        </w:rPr>
        <w:t>Kurikul prema dobnim skupinama djece</w:t>
      </w:r>
    </w:p>
    <w:p w14:paraId="112760C2">
      <w:pPr>
        <w:spacing w:line="276" w:lineRule="auto"/>
        <w:rPr>
          <w:rFonts w:cstheme="minorHAnsi"/>
          <w:lang w:bidi="ar"/>
        </w:rPr>
      </w:pPr>
    </w:p>
    <w:p w14:paraId="0F65CD1A">
      <w:pPr>
        <w:pStyle w:val="4"/>
        <w:spacing w:line="276" w:lineRule="auto"/>
        <w:rPr>
          <w:rFonts w:asciiTheme="minorHAnsi" w:hAnsiTheme="minorHAnsi" w:cstheme="minorHAnsi"/>
        </w:rPr>
      </w:pPr>
      <w:r>
        <w:rPr>
          <w:rFonts w:asciiTheme="minorHAnsi" w:hAnsiTheme="minorHAnsi" w:cstheme="minorHAnsi"/>
        </w:rPr>
        <w:t>Kurikul za djecu rane dobi</w:t>
      </w:r>
    </w:p>
    <w:p w14:paraId="13A43703">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U razdoblju od prve do druge godine života djeca ostvaruju značajan napredak u motoričkom razvoju. Uče samostalno hodati, trčati i snalaziti se u prostoru izbjegavajući prepreke. Rado se penju na namještaj, bacaju igračke, okreću stranice knjiga te usavršavaju pokrete hvatanja i rukovanja predmetima. Dok mlađa djeca uglavnom pružaju predmet odrasloj osobi, dvogodišnjaci već pokazuju razvijenu finu motoriku te mogu brzo i sigurno podizati sitne predmete. </w:t>
      </w:r>
    </w:p>
    <w:p w14:paraId="16704E52">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U ovoj dobi razvija se i samostalnost u svakodnevnim aktivnostima. Djeca postupno usvajaju osnovne navike brige o sebi, poput održavanja higijene, samostalnog hranjenja i sudjelovanja u oblačenju. </w:t>
      </w:r>
    </w:p>
    <w:p w14:paraId="6592A5CF">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Spoznajni razvoj temelji se na istraživanju okoline pomoću svih osjetila: vida, sluha, dodira, okusa i mirisa. Djeca uče kroz neposredno iskustvo i kretanje, a posebno ih privlače nove situacije i sadržaji. Sposobna su oponašati radnje koje su promatrala i ranije, razvijaju sposobnost mentalnog predočavanja te počinju jednostavno rješavati probleme. Velik interes pokazuju za slikovnice, pri čemu prepoznaju i uočavaju sitne detalje na ilustracijama. </w:t>
      </w:r>
    </w:p>
    <w:p w14:paraId="1EA20390">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Govorno-jezični razvoj obilježava izgovaranje prvih riječi sa značenjem, a zatim povezivanje dviju ili više riječi u jednostavne iskaze. Djeca također prepoznaju ritam i promjene ritma te rado oponašaju zvukove iz svoje okoline. </w:t>
      </w:r>
    </w:p>
    <w:p w14:paraId="462E9797">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Najprimjereniji odgojno-obrazovni postupci uključuju pružanje brojnih prilika za samostalno vježbanje i ponavljanje novih vještina, čime djeca razvijaju osjećaj uspješnosti i samostalnosti. Učenje se učinkovito potiče kroz igre oponašanja, skrivanja i imenovanja predmeta, osoba i pojava.</w:t>
      </w:r>
    </w:p>
    <w:p w14:paraId="047A594C">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Posebno važnu ulogu u ovom razdoblju imaju odrasle osobe koje svojim toplim, sigurnim i poticajnim odnosom doprinose razvoju djetetova osjećaja povjerenja, sigurnosti i samopouzdanja. Djeca često traže pažnju roditelja i drugih odraslih, a istodobno pokazuju sve veći interes za vršnjake. U kontaktu s drugom djecom približavaju im se, dodiruju ih te postupno razvijaju razumijevanje njihovih namjera i osjećaja. Već u ovoj dobi javljaju se prvi oblici empatije i spremnosti na pomaganje drugoj djeci i odraslima.</w:t>
      </w:r>
    </w:p>
    <w:p w14:paraId="64C05920">
      <w:pPr>
        <w:pStyle w:val="26"/>
        <w:spacing w:before="0" w:beforeAutospacing="0" w:after="0" w:afterAutospacing="0" w:line="276" w:lineRule="auto"/>
        <w:ind w:firstLine="420"/>
        <w:jc w:val="both"/>
        <w:rPr>
          <w:rFonts w:asciiTheme="minorHAnsi" w:hAnsiTheme="minorHAnsi" w:cstheme="minorHAnsi"/>
        </w:rPr>
      </w:pPr>
    </w:p>
    <w:p w14:paraId="178901D0">
      <w:pPr>
        <w:pStyle w:val="4"/>
        <w:spacing w:line="276" w:lineRule="auto"/>
        <w:rPr>
          <w:rFonts w:eastAsia="SimSun" w:asciiTheme="minorHAnsi" w:hAnsiTheme="minorHAnsi" w:cstheme="minorHAnsi"/>
        </w:rPr>
      </w:pPr>
      <w:r>
        <w:rPr>
          <w:rFonts w:eastAsia="SimSun" w:asciiTheme="minorHAnsi" w:hAnsiTheme="minorHAnsi" w:cstheme="minorHAnsi"/>
        </w:rPr>
        <w:t>Kurikul za trogodišnjake</w:t>
      </w:r>
    </w:p>
    <w:p w14:paraId="75322A6E">
      <w:pPr>
        <w:autoSpaceDE w:val="0"/>
        <w:autoSpaceDN w:val="0"/>
        <w:adjustRightInd w:val="0"/>
        <w:spacing w:after="0" w:line="276" w:lineRule="auto"/>
        <w:ind w:firstLine="420"/>
        <w:jc w:val="both"/>
        <w:rPr>
          <w:rFonts w:eastAsia="SimSun" w:cstheme="minorHAnsi"/>
          <w:color w:val="000000"/>
          <w:sz w:val="24"/>
          <w:szCs w:val="24"/>
          <w:lang w:eastAsia="hr-HR"/>
        </w:rPr>
      </w:pPr>
      <w:r>
        <w:rPr>
          <w:rFonts w:eastAsia="SimSun" w:cstheme="minorHAnsi"/>
          <w:color w:val="000000"/>
          <w:sz w:val="24"/>
          <w:szCs w:val="24"/>
          <w:lang w:eastAsia="hr-HR"/>
        </w:rPr>
        <w:t xml:space="preserve">Kurikul za trogodišnjake treba naglasiti jezik, aktivnosti i pokret, s jačim težištem na aktivnostima za razvoj krupne motorike. Trogodišnjaci u igri i aktivnostima usavršavaju radnje stajanja, hodanja, radnje koje izvode rukama te usklađuju koordinaciju ruku i nogu. U igri bacaju i udaraju loptu, a hvataju je samo u razini prsa. Olovkom povlače crte i precrtavaju krug pri čemu je jasno vidljiva dominantna ruka. </w:t>
      </w:r>
    </w:p>
    <w:p w14:paraId="31A1D07E">
      <w:pPr>
        <w:autoSpaceDE w:val="0"/>
        <w:autoSpaceDN w:val="0"/>
        <w:adjustRightInd w:val="0"/>
        <w:spacing w:after="0" w:line="276" w:lineRule="auto"/>
        <w:ind w:firstLine="420"/>
        <w:jc w:val="both"/>
        <w:rPr>
          <w:rFonts w:eastAsia="SimSun" w:cstheme="minorHAnsi"/>
          <w:color w:val="000000"/>
          <w:sz w:val="24"/>
          <w:szCs w:val="24"/>
          <w:lang w:eastAsia="hr-HR"/>
        </w:rPr>
      </w:pPr>
      <w:r>
        <w:rPr>
          <w:rFonts w:eastAsia="SimSun" w:cstheme="minorHAnsi"/>
          <w:color w:val="000000"/>
          <w:sz w:val="24"/>
          <w:szCs w:val="24"/>
          <w:lang w:eastAsia="hr-HR"/>
        </w:rPr>
        <w:t xml:space="preserve">U toj razvojnoj fazi djeca mogu istovremeno usmjeriti pažnju na dva predmeta te prepoznati njihova osnovna svojstva. Vrlo je važno djeci omogućiti različita iskustva prilikom čega uče o predmetima i pojavama s kojima se neposredno susreću. Sposobna su razlikovati i djelomično točno imenovati boje, razlikovati i pridruživati do dvije veličine i oblika. U ovoj razvojnoj fazi počinju shvaćati vrijeme i prostor, a mogu rješavati male praktične probleme. U razvoju likovnih sposobnosti dominantno je slučajno prikazivanje stvarnosti gdje su djeca većinski fokusirana na crtu, boju i oblik. Crtežima pridaju značenje i imenovanje. Primjerene i poticajne odgojno-obrazovne aktivnosti nužno je usmjeriti prema eksperimentiranju boja i različitih materijala, vrsta i veličina papira te kista. </w:t>
      </w:r>
    </w:p>
    <w:p w14:paraId="4937C126">
      <w:pPr>
        <w:autoSpaceDE w:val="0"/>
        <w:autoSpaceDN w:val="0"/>
        <w:adjustRightInd w:val="0"/>
        <w:spacing w:after="0" w:line="276" w:lineRule="auto"/>
        <w:ind w:firstLine="420"/>
        <w:jc w:val="both"/>
        <w:rPr>
          <w:rFonts w:eastAsia="SimSun" w:cstheme="minorHAnsi"/>
          <w:color w:val="000000"/>
          <w:sz w:val="24"/>
          <w:szCs w:val="24"/>
          <w:lang w:eastAsia="hr-HR"/>
        </w:rPr>
      </w:pPr>
      <w:r>
        <w:rPr>
          <w:rFonts w:eastAsia="SimSun" w:cstheme="minorHAnsi"/>
          <w:color w:val="000000"/>
          <w:sz w:val="24"/>
          <w:szCs w:val="24"/>
          <w:lang w:eastAsia="hr-HR"/>
        </w:rPr>
        <w:t xml:space="preserve">U razvoju govora doživljavaju intenzivno svladavanje sintakse, ali za razumijevanje je još uvijek važna intonacija i ritam. Govor trogodišnjaka je razumljiv i služi svrsi, a karakterizira ga postavljanje pitanja s ciljem dobivanja objašnjenja za nešto što se događa. </w:t>
      </w:r>
    </w:p>
    <w:p w14:paraId="56B6938E">
      <w:pPr>
        <w:autoSpaceDE w:val="0"/>
        <w:autoSpaceDN w:val="0"/>
        <w:adjustRightInd w:val="0"/>
        <w:spacing w:after="0" w:line="276" w:lineRule="auto"/>
        <w:ind w:firstLine="420"/>
        <w:jc w:val="both"/>
        <w:rPr>
          <w:rFonts w:eastAsia="SimSun" w:cstheme="minorHAnsi"/>
          <w:color w:val="000000"/>
          <w:sz w:val="24"/>
          <w:szCs w:val="24"/>
        </w:rPr>
      </w:pPr>
      <w:r>
        <w:rPr>
          <w:rFonts w:eastAsia="SimSun" w:cstheme="minorHAnsi"/>
          <w:color w:val="000000"/>
          <w:sz w:val="24"/>
          <w:szCs w:val="24"/>
          <w:lang w:eastAsia="hr-HR"/>
        </w:rPr>
        <w:t xml:space="preserve">Interakcije između vršnjaka sve su češće. Trogodišnjaci nastoje ostvariti svoje želje sad i odmah te se teško nose s odlaganjem svojih želja. Poticajne odgojno-obrazovne aktivnosti trebaju uključivati praćenje dnevne rutine. </w:t>
      </w:r>
      <w:r>
        <w:rPr>
          <w:rFonts w:eastAsia="SimSun" w:cstheme="minorHAnsi"/>
          <w:color w:val="000000"/>
          <w:sz w:val="24"/>
          <w:szCs w:val="24"/>
        </w:rPr>
        <w:t>Najčešće se pojavljuju igre pretvaranja koje su rezultat djetetovog iskustva u interakciji s odraslima, u igru uključuju predmete koji zamjenjuju realne i daje im nazive prema potrebi igre. Pojavljuju se bazični stilovi igara gdje su djeca sklona konstrukciji, simbolici i dramatizaciji. Primjerene aktivnosti uključuju dramsku igru, igračke s kotačima i penjalice, puzzle i kocke te mogućnost pričanja i slušanja jednostavnih priča.</w:t>
      </w:r>
    </w:p>
    <w:p w14:paraId="15DC71F0">
      <w:pPr>
        <w:autoSpaceDE w:val="0"/>
        <w:autoSpaceDN w:val="0"/>
        <w:adjustRightInd w:val="0"/>
        <w:spacing w:after="0" w:line="276" w:lineRule="auto"/>
        <w:ind w:firstLine="420"/>
        <w:jc w:val="both"/>
        <w:rPr>
          <w:rFonts w:eastAsia="SimSun" w:cstheme="minorHAnsi"/>
          <w:color w:val="000000"/>
          <w:sz w:val="24"/>
          <w:szCs w:val="24"/>
          <w:lang w:eastAsia="hr-HR"/>
        </w:rPr>
      </w:pPr>
    </w:p>
    <w:p w14:paraId="354799A9">
      <w:pPr>
        <w:pStyle w:val="4"/>
        <w:spacing w:line="276" w:lineRule="auto"/>
        <w:rPr>
          <w:rFonts w:asciiTheme="minorHAnsi" w:hAnsiTheme="minorHAnsi" w:cstheme="minorHAnsi"/>
        </w:rPr>
      </w:pPr>
      <w:r>
        <w:rPr>
          <w:rFonts w:asciiTheme="minorHAnsi" w:hAnsiTheme="minorHAnsi" w:cstheme="minorHAnsi"/>
        </w:rPr>
        <w:t>Kurikul za četverogodišnjake i petogodišnjake</w:t>
      </w:r>
    </w:p>
    <w:p w14:paraId="55CD7EDD">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U dobi od četiri do pet godina djeca ostvaruju značajan napredak u motoričkom, spoznajnom, jezičnom i socioemocionalnom razvoju. Ovo razvojno razdoblje obilježeno je intenzivnim istraživanjem okoline, stjecanjem novih vještina i sve većom samostalnošću. </w:t>
      </w:r>
    </w:p>
    <w:p w14:paraId="65E10D0D">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Četverogodišnjaci usavršavaju grubu i finu motoriku te s veseljem sudjeluju u raznovrsnim aktivnostima poput rezanja škarama, likovnog izražavanja, konstrukcijskih igara i jednostavnih kuharskih aktivnosti. Sposobni su rezati papir po ravnim i zakrivljenim linijama, pravilno držati olovku uz odgovarajući poticaj te crtati prepoznatljive predmete i velika tiskana slova. Njihovi crteži dobivaju jasniju formu i značenje. U svakodnevnim aktivnostima uglavnom su samostalni, samostalno se hrane, mogu postaviti stol te, uz povremeni podsjetnik, održavaju osnovne higijenske navike. </w:t>
      </w:r>
    </w:p>
    <w:p w14:paraId="7C07D519">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Petogodišnjaci pokazuju sve veći interes za društvenu zajednicu i svijet koji ih okružuje. Njihove motoričke sposobnosti postaju sve razvijenije, a pažnju mogu usmjeriti na određenu aktivnost tijekom duljeg razdoblja, osobito ako ih sadržaj zanima. Uspješno prepoznaju i pamte predmete prema njihovim obilježjima, poput oblika, boje i veličine, uočavaju njihovu funkciju te ih razvrstavaju prema određenim svojstvima. Razlikuju i imenuju osnovne boje, prepoznaju većinu drugih boja, uspoređuju veličine i količine, izdvajaju predmete jednakog oblika te razumiju osnovne vremenske pojmove, poput dijelova dana. </w:t>
      </w:r>
    </w:p>
    <w:p w14:paraId="01086C9E">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U ovom razdoblju razvijaju se i temeljni matematički pojmovi te sposobnosti logičkog zaključivanja i rješavanja problema. Djeca razumiju jednostavne odnose među predmetima, primjerice povezivanje jedan prema jedan, a istodobno jačaju njihovo pamćenje, koncentracija i fina motorika. Razvija se unutarnja motivacija za učenjem i dovršavanjem započetih aktivnosti. Djeca sve bolje poštuju unaprijed dogovorena pravila te vlastiti uspjeh često uspoređuju s postignućima vršnjaka, zbog čega se mogu javiti prvi oblici natjecateljskog ponašanja. Istodobno postaju otvorenija za suradnju, radije biraju društvo vršnjaka nego odraslih i stvaraju prva trajna prijateljstva. </w:t>
      </w:r>
    </w:p>
    <w:p w14:paraId="2BC12A24">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Govorno-jezični razvoj u ovoj dobi vrlo je intenzivan. Rječnik se brzo proširuje, a djeca rado izmišljaju brojalice, pjesmice i igre riječima. Sve češće ispituju značenje novih i apstraktnih pojmova te ih nastoje primjenjivati u govoru, iako ponekad nepravilno. Njihov je govor gramatički gotovo u potpunosti razvijen, uz povremene pogreške koje su dio prirodnog jezičnog razvoja. Djeca postupno razvijaju i predvještine čitanja i pisanja. Počinju razumijevati da se riječi sastoje od glasova, pokazuju interes za pisani jezik, prepoznaju poznate riječi i pokušavaju napisati vlastito ime. Umjesto formalnog poučavanja slova i pisanja, u ovoj je dobi primjerenije osigurati poticajno okruženje bogato različitim pisanim materijalima i svakodnevnim situacijama koje prirodno razvijaju jezične sposobnosti i početnu pismenost.</w:t>
      </w:r>
    </w:p>
    <w:p w14:paraId="4D289488">
      <w:pPr>
        <w:pStyle w:val="26"/>
        <w:spacing w:before="0" w:beforeAutospacing="0" w:after="0" w:afterAutospacing="0" w:line="276" w:lineRule="auto"/>
        <w:ind w:firstLine="420"/>
        <w:jc w:val="both"/>
        <w:rPr>
          <w:rFonts w:asciiTheme="minorHAnsi" w:hAnsiTheme="minorHAnsi" w:cstheme="minorHAnsi"/>
        </w:rPr>
      </w:pPr>
    </w:p>
    <w:p w14:paraId="2C7A6233">
      <w:pPr>
        <w:pStyle w:val="4"/>
        <w:spacing w:line="276" w:lineRule="auto"/>
        <w:rPr>
          <w:rFonts w:asciiTheme="minorHAnsi" w:hAnsiTheme="minorHAnsi" w:cstheme="minorHAnsi"/>
        </w:rPr>
      </w:pPr>
      <w:r>
        <w:rPr>
          <w:rFonts w:asciiTheme="minorHAnsi" w:hAnsiTheme="minorHAnsi" w:cstheme="minorHAnsi"/>
        </w:rPr>
        <w:t>Kurikul za šestogodišnjake i sedmogodišnjake</w:t>
      </w:r>
    </w:p>
    <w:p w14:paraId="7B053D2F">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U dobi od šest do sedam godina djeca postižu značajan napredak u motoričkom, spoznajnom, jezičnom i socioemocionalnom razvoju. Vrlo su aktivna i rado sudjeluju u igrama koje zahtijevaju spretnost, koordinaciju i preciznost. U tom razdoblju dodatno usavršavaju okulomotornu koordinaciju te razvijaju sposobnost preciznog crtanja ravnih i zakrivljenih linija olovkom i flomasterom. Sve motoričke sposobnosti postaju izraženije, a individualne razlike među djecom sve su uočljivije i često ostaju prisutne tijekom daljnjeg razvoja. </w:t>
      </w:r>
    </w:p>
    <w:p w14:paraId="77A23EB2">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Na spoznajnom planu djeca ulaze u fazu konkretnih operacija, što se očituje u razvijenijem razumijevanju odnosa među predmetima i pojavama te u oblikovanju složenijih pojmova. Postupno usvajaju različite oblike konzervacije, poput razumijevanja volumena, težine, oblika i količine, razvijaju sposobnost klasifikacije te sve bolje razumiju prenesena značenja. Pojmove oblikuju na temelju njihovih bitnih obilježja, pri čemu se njihovo razmišljanje i dalje oslanja na konkretna iskustva i situacije iz svakodnevnog života. Sposobni su razlikovati stvarno od nestvarnog, točno od netočnog, brojati do 30 te rješavati jednostavne zadatke zbrajanja i oduzimanja uz korištenje konkretnih materijala. </w:t>
      </w:r>
    </w:p>
    <w:p w14:paraId="502C2FBA">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Kod većine šestogodišnjaka, kao i mnogih sedmogodišnjaka, spoznajni razvoj često napreduje brže od tjelesnog razvoja. Zbog toga su za ovu dob posebno prikladne aktivnosti koje uključuju istraživanje, eksperimentiranje, praktičan rad i rješavanje problema, dok dugotrajno mehaničko izvršavanje zadataka za stolom nije u skladu s njihovim razvojnim potrebama. Sedmogodišnjacima je potrebno vrijeme kako bi uvježbali i usvojili novostečene motoričke i spoznajne vještine, a pritom postupno razvijaju sposobnost logičkog zaključivanja, pažljivog slušanja drugih i uspješnije suradnje s vršnjacima. </w:t>
      </w:r>
    </w:p>
    <w:p w14:paraId="298D699E">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 xml:space="preserve">Govorno-jezične sposobnosti u ovoj su dobi vrlo dobro razvijene. Djeca jasno izgovaraju glasove, pravilno primjenjuju gramatička pravila te uspješno izražavaju svoje misli, osjećaje i potrebe. Mogu prepričavati događaje i priče, započeti razgovor te održavati komunikaciju s drugima. Istodobno raste interes za suradničke aktivnosti, dok suradnja i zdravo natjecanje među vršnjacima postaju sve izraženiji. </w:t>
      </w:r>
    </w:p>
    <w:p w14:paraId="46AB24D0">
      <w:pPr>
        <w:pStyle w:val="26"/>
        <w:spacing w:before="0" w:beforeAutospacing="0" w:after="0" w:afterAutospacing="0" w:line="276" w:lineRule="auto"/>
        <w:ind w:firstLine="420"/>
        <w:jc w:val="both"/>
        <w:rPr>
          <w:rFonts w:asciiTheme="minorHAnsi" w:hAnsiTheme="minorHAnsi" w:cstheme="minorHAnsi"/>
        </w:rPr>
      </w:pPr>
      <w:r>
        <w:rPr>
          <w:rFonts w:asciiTheme="minorHAnsi" w:hAnsiTheme="minorHAnsi" w:cstheme="minorHAnsi"/>
        </w:rPr>
        <w:t>Socioemocionalni razvoj obilježava sve veća usmjerenost na vršnjačke odnose. Djeca vlastita postignuća procjenjuju uspoređujući ih s uspjesima svojih vršnjaka, a najčešće se igraju u skupinama djece istoga spola. Nerijetko sebi postavljaju vrlo visoka, ponekad i nerealna očekivanja, što predstavlja dio procesa razvoja samoprocjene i samopouzdanja. U ovoj dobi jasno se očituje bogatstvo igre, razvijenih vještina i strategija učenja koje su djeca postupno usvajala tijekom prvih godina života te ih sve uspješnije primjenjuju u svakodnevnim situacijama.</w:t>
      </w:r>
    </w:p>
    <w:p w14:paraId="57E781FB">
      <w:pPr>
        <w:spacing w:after="0" w:line="276" w:lineRule="auto"/>
        <w:jc w:val="both"/>
        <w:rPr>
          <w:rFonts w:eastAsia="Times New Roman" w:cstheme="minorHAnsi"/>
          <w:color w:val="000000"/>
          <w:sz w:val="24"/>
          <w:szCs w:val="24"/>
        </w:rPr>
      </w:pPr>
    </w:p>
    <w:p w14:paraId="1717158F">
      <w:pPr>
        <w:pStyle w:val="2"/>
        <w:rPr>
          <w:rFonts w:asciiTheme="minorHAnsi" w:hAnsiTheme="minorHAnsi" w:cstheme="minorHAnsi"/>
        </w:rPr>
      </w:pPr>
      <w:r>
        <w:rPr>
          <w:rFonts w:asciiTheme="minorHAnsi" w:hAnsiTheme="minorHAnsi" w:cstheme="minorHAnsi"/>
        </w:rPr>
        <w:t>KULTURA VRTIĆA</w:t>
      </w:r>
    </w:p>
    <w:p w14:paraId="6BA2BC5A">
      <w:pPr>
        <w:pBdr>
          <w:bottom w:val="none" w:color="0A0A0A" w:sz="0" w:space="0"/>
        </w:pBdr>
        <w:spacing w:after="0" w:line="276" w:lineRule="auto"/>
        <w:ind w:firstLine="420"/>
        <w:jc w:val="both"/>
        <w:rPr>
          <w:rFonts w:eastAsia="Arial" w:cstheme="minorHAnsi"/>
          <w:sz w:val="24"/>
          <w:szCs w:val="24"/>
        </w:rPr>
      </w:pPr>
      <w:r>
        <w:rPr>
          <w:rFonts w:eastAsia="Arial" w:cstheme="minorHAnsi"/>
          <w:sz w:val="24"/>
          <w:szCs w:val="24"/>
          <w:lang w:eastAsia="zh-CN" w:bidi="ar"/>
        </w:rPr>
        <w:t>Kultura naše ustanove manifestira se kroz zajednička temeljna načela, vrijednosti, ciljeve i uvjerenja svih sudionika odgojno-obrazovnog procesa: ravnatelja, odgojitelja, stručnih suradnika, administrativno-tehničkog osoblja te roditelja. Ona određuje prepoznatljiv identitet vrtića, a zrcali se u kvaliteti međuljudskih odnosa, modelima upravljanja, organizaciji okruženja te usmjerenosti na kontinuirano učenje i istraživanje prakse radi njezina stalna unaprjeđenja.</w:t>
      </w:r>
    </w:p>
    <w:p w14:paraId="5D20CBBE">
      <w:pPr>
        <w:pBdr>
          <w:bottom w:val="none" w:color="0A0A0A" w:sz="0" w:space="0"/>
        </w:pBdr>
        <w:spacing w:after="0" w:line="276" w:lineRule="auto"/>
        <w:ind w:firstLine="420"/>
        <w:jc w:val="both"/>
        <w:rPr>
          <w:rFonts w:eastAsia="Arial" w:cstheme="minorHAnsi"/>
          <w:sz w:val="24"/>
          <w:szCs w:val="24"/>
          <w:lang w:eastAsia="zh-CN" w:bidi="ar"/>
        </w:rPr>
      </w:pPr>
      <w:r>
        <w:rPr>
          <w:rFonts w:eastAsia="Arial" w:cstheme="minorHAnsi"/>
          <w:sz w:val="24"/>
          <w:szCs w:val="24"/>
          <w:lang w:eastAsia="zh-CN" w:bidi="ar"/>
        </w:rPr>
        <w:t>Kultura vrtića strukturirana je kroz tri ključne i međuovisne dimenzije:</w:t>
      </w:r>
    </w:p>
    <w:p w14:paraId="4E352C63">
      <w:pPr>
        <w:pBdr>
          <w:bottom w:val="none" w:color="0A0A0A" w:sz="0" w:space="0"/>
        </w:pBdr>
        <w:spacing w:before="120" w:beforeLines="50" w:after="120" w:afterLines="50" w:line="276" w:lineRule="auto"/>
        <w:jc w:val="both"/>
        <w:rPr>
          <w:rFonts w:eastAsia="Arial" w:cstheme="minorHAnsi"/>
          <w:bCs/>
          <w:sz w:val="24"/>
          <w:szCs w:val="24"/>
          <w:u w:val="single"/>
        </w:rPr>
      </w:pPr>
      <w:r>
        <w:rPr>
          <w:rFonts w:eastAsia="Arial" w:cstheme="minorHAnsi"/>
          <w:bCs/>
          <w:sz w:val="24"/>
          <w:szCs w:val="24"/>
          <w:u w:val="single"/>
          <w:lang w:eastAsia="zh-CN" w:bidi="ar"/>
        </w:rPr>
        <w:t>1. Prostorno-materijalno okruženje</w:t>
      </w:r>
    </w:p>
    <w:p w14:paraId="68F4AF2C">
      <w:pPr>
        <w:pBdr>
          <w:bottom w:val="none" w:color="0A0A0A" w:sz="0" w:space="0"/>
        </w:pBdr>
        <w:spacing w:after="0" w:line="276" w:lineRule="auto"/>
        <w:ind w:firstLine="360"/>
        <w:jc w:val="both"/>
        <w:rPr>
          <w:rFonts w:eastAsia="Arial" w:cstheme="minorHAnsi"/>
          <w:sz w:val="24"/>
          <w:szCs w:val="24"/>
        </w:rPr>
      </w:pPr>
      <w:r>
        <w:rPr>
          <w:rFonts w:eastAsia="Arial" w:cstheme="minorHAnsi"/>
          <w:sz w:val="24"/>
          <w:szCs w:val="24"/>
          <w:lang w:eastAsia="zh-CN" w:bidi="ar"/>
        </w:rPr>
        <w:t>Materijalno okruženje u našem vrtiću oblikujemo s ciljem da ono bude ugodno, estetski poticajno i blisko obiteljskom ozračju. Organizacija prostora temelji se na sljedećim načelima:</w:t>
      </w:r>
    </w:p>
    <w:p w14:paraId="22E5410C">
      <w:pPr>
        <w:pStyle w:val="25"/>
        <w:numPr>
          <w:ilvl w:val="0"/>
          <w:numId w:val="8"/>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bogatstvo i promišljenost materijala:</w:t>
      </w:r>
      <w:r>
        <w:rPr>
          <w:rFonts w:eastAsia="Arial" w:cstheme="minorHAnsi"/>
          <w:sz w:val="24"/>
          <w:szCs w:val="24"/>
        </w:rPr>
        <w:t xml:space="preserve"> Ponuda raznovrsnih, nestrukturiranih i autentičnih materijala koji potiču dječju radoznalost, postavljanje hipoteza, eksperimentiranje i aktivno sukonstruiranje znanja.</w:t>
      </w:r>
    </w:p>
    <w:p w14:paraId="4152B559">
      <w:pPr>
        <w:pStyle w:val="25"/>
        <w:numPr>
          <w:ilvl w:val="0"/>
          <w:numId w:val="8"/>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strukturirani centri aktivnosti:</w:t>
      </w:r>
      <w:r>
        <w:rPr>
          <w:rFonts w:eastAsia="Arial" w:cstheme="minorHAnsi"/>
          <w:sz w:val="24"/>
          <w:szCs w:val="24"/>
        </w:rPr>
        <w:t xml:space="preserve"> Fleksibilni i bogato opremljeni centri koji prirodno potiču grupiranje djece u manje skupine, čime se omogućuju kvalitetnije vršnjačke interakcije i dublja posvećenost igri.</w:t>
      </w:r>
    </w:p>
    <w:p w14:paraId="60619FBF">
      <w:pPr>
        <w:pStyle w:val="25"/>
        <w:numPr>
          <w:ilvl w:val="0"/>
          <w:numId w:val="8"/>
        </w:numPr>
        <w:pBdr>
          <w:bottom w:val="none" w:color="0A0A0A" w:sz="0" w:space="0"/>
        </w:pBdr>
        <w:spacing w:after="0" w:line="276" w:lineRule="auto"/>
        <w:jc w:val="both"/>
        <w:rPr>
          <w:rFonts w:eastAsia="Arial" w:cstheme="minorHAnsi"/>
          <w:sz w:val="24"/>
          <w:szCs w:val="24"/>
        </w:rPr>
      </w:pPr>
      <w:r>
        <w:rPr>
          <w:rStyle w:val="21"/>
          <w:rFonts w:eastAsia="Arial" w:cstheme="minorHAnsi"/>
          <w:sz w:val="24"/>
          <w:szCs w:val="24"/>
        </w:rPr>
        <w:t>okruženje kao podrška odgojitelju:</w:t>
      </w:r>
      <w:r>
        <w:rPr>
          <w:rFonts w:eastAsia="Arial" w:cstheme="minorHAnsi"/>
          <w:sz w:val="24"/>
          <w:szCs w:val="24"/>
        </w:rPr>
        <w:t xml:space="preserve"> Prostor koji odgojitelju služi kao alat za lakše praćenje, razumijevanje i dokumentiranje dječjih interesa, potreba i strategija učenja.</w:t>
      </w:r>
    </w:p>
    <w:p w14:paraId="1C3A4F8F">
      <w:pPr>
        <w:pBdr>
          <w:bottom w:val="none" w:color="0A0A0A" w:sz="0" w:space="0"/>
        </w:pBdr>
        <w:spacing w:before="120" w:beforeLines="50" w:after="120" w:afterLines="50" w:line="276" w:lineRule="auto"/>
        <w:jc w:val="both"/>
        <w:rPr>
          <w:rFonts w:eastAsia="Arial" w:cstheme="minorHAnsi"/>
          <w:bCs/>
          <w:sz w:val="24"/>
          <w:szCs w:val="24"/>
          <w:u w:val="single"/>
        </w:rPr>
      </w:pPr>
      <w:r>
        <w:rPr>
          <w:rFonts w:eastAsia="Arial" w:cstheme="minorHAnsi"/>
          <w:bCs/>
          <w:sz w:val="24"/>
          <w:szCs w:val="24"/>
          <w:u w:val="single"/>
          <w:lang w:eastAsia="zh-CN" w:bidi="ar"/>
        </w:rPr>
        <w:t>2. Socijalno okruženje vrtića</w:t>
      </w:r>
    </w:p>
    <w:p w14:paraId="040AED61">
      <w:pPr>
        <w:pBdr>
          <w:bottom w:val="none" w:color="0A0A0A" w:sz="0" w:space="0"/>
        </w:pBdr>
        <w:spacing w:before="120" w:beforeLines="50" w:after="120" w:afterLines="50" w:line="276" w:lineRule="auto"/>
        <w:ind w:firstLine="426"/>
        <w:jc w:val="both"/>
        <w:rPr>
          <w:rFonts w:eastAsia="Arial" w:cstheme="minorHAnsi"/>
          <w:sz w:val="24"/>
          <w:szCs w:val="24"/>
        </w:rPr>
      </w:pPr>
      <w:r>
        <w:rPr>
          <w:rFonts w:eastAsia="Arial" w:cstheme="minorHAnsi"/>
          <w:sz w:val="24"/>
          <w:szCs w:val="24"/>
          <w:lang w:eastAsia="zh-CN" w:bidi="ar"/>
        </w:rPr>
        <w:t xml:space="preserve">Kvaliteta odnosa i komunikacije među odraslima (odgojitelji, stručni suradnici, roditelji) izravno modelira ponašanje djece i utječe na njihovo stjecanje socijalnih i intelektualnih iskustava. Socijalni kontekst obuhvaća </w:t>
      </w:r>
      <w:r>
        <w:rPr>
          <w:rStyle w:val="21"/>
          <w:rFonts w:eastAsia="Arial" w:cstheme="minorHAnsi"/>
          <w:b w:val="0"/>
          <w:sz w:val="24"/>
          <w:szCs w:val="24"/>
        </w:rPr>
        <w:t>izgradnju socijalnih kompetencija (promatranjem i sudjelovanjem u govorno-komunikacijskim procesima) i</w:t>
      </w:r>
      <w:r>
        <w:rPr>
          <w:rFonts w:eastAsia="Arial" w:cstheme="minorHAnsi"/>
          <w:sz w:val="24"/>
          <w:szCs w:val="24"/>
        </w:rPr>
        <w:t xml:space="preserve"> </w:t>
      </w:r>
      <w:r>
        <w:rPr>
          <w:rFonts w:eastAsia="Arial" w:cstheme="minorHAnsi"/>
          <w:bCs/>
          <w:sz w:val="24"/>
          <w:szCs w:val="24"/>
        </w:rPr>
        <w:t>b</w:t>
      </w:r>
      <w:r>
        <w:rPr>
          <w:rStyle w:val="21"/>
          <w:rFonts w:eastAsia="Arial" w:cstheme="minorHAnsi"/>
          <w:b w:val="0"/>
          <w:sz w:val="24"/>
          <w:szCs w:val="24"/>
        </w:rPr>
        <w:t>ogat komunikacijski kontekst.</w:t>
      </w:r>
      <w:r>
        <w:rPr>
          <w:rFonts w:eastAsia="Arial" w:cstheme="minorHAnsi"/>
          <w:sz w:val="24"/>
          <w:szCs w:val="24"/>
        </w:rPr>
        <w:t xml:space="preserve"> Svjesni smo da djeca jezik usvajaju aktivnim sudjelovanjem u živom, poticajnom i gramatički pravilnom komunikacijskom okruženju, zbog čega posebnu pažnju posvećujemo kulturi dijaloga i slušanja.</w:t>
      </w:r>
    </w:p>
    <w:p w14:paraId="32416035">
      <w:pPr>
        <w:pBdr>
          <w:bottom w:val="none" w:color="0A0A0A" w:sz="0" w:space="0"/>
        </w:pBdr>
        <w:spacing w:before="120" w:beforeLines="50" w:after="120" w:afterLines="50" w:line="276" w:lineRule="auto"/>
        <w:jc w:val="both"/>
        <w:rPr>
          <w:rFonts w:eastAsia="Arial" w:cstheme="minorHAnsi"/>
          <w:bCs/>
          <w:sz w:val="24"/>
          <w:szCs w:val="24"/>
          <w:u w:val="single"/>
        </w:rPr>
      </w:pPr>
      <w:r>
        <w:rPr>
          <w:rFonts w:eastAsia="Arial" w:cstheme="minorHAnsi"/>
          <w:bCs/>
          <w:sz w:val="24"/>
          <w:szCs w:val="24"/>
          <w:u w:val="single"/>
          <w:lang w:eastAsia="zh-CN" w:bidi="ar"/>
        </w:rPr>
        <w:t>3. Vođenje i upravljanje ustanovom</w:t>
      </w:r>
    </w:p>
    <w:p w14:paraId="11148D0D">
      <w:pPr>
        <w:pBdr>
          <w:bottom w:val="none" w:color="0A0A0A" w:sz="0" w:space="0"/>
        </w:pBdr>
        <w:spacing w:after="0" w:line="276" w:lineRule="auto"/>
        <w:ind w:firstLine="426"/>
        <w:jc w:val="both"/>
        <w:rPr>
          <w:rFonts w:eastAsia="Arial" w:cstheme="minorHAnsi"/>
          <w:sz w:val="24"/>
          <w:szCs w:val="24"/>
        </w:rPr>
      </w:pPr>
      <w:r>
        <w:rPr>
          <w:rFonts w:eastAsia="Arial" w:cstheme="minorHAnsi"/>
          <w:sz w:val="24"/>
          <w:szCs w:val="24"/>
          <w:lang w:eastAsia="zh-CN" w:bidi="ar"/>
        </w:rPr>
        <w:t xml:space="preserve">Kvalitetan suživot djece i odraslih temelji se na demokratskim načelima, međusobnom poštovanju i </w:t>
      </w:r>
      <w:r>
        <w:rPr>
          <w:rStyle w:val="21"/>
          <w:rFonts w:eastAsia="Arial" w:cstheme="minorHAnsi"/>
          <w:b w:val="0"/>
          <w:sz w:val="24"/>
          <w:szCs w:val="24"/>
          <w:lang w:eastAsia="zh-CN" w:bidi="ar"/>
        </w:rPr>
        <w:t>distribuiranom vođenju</w:t>
      </w:r>
      <w:r>
        <w:rPr>
          <w:rFonts w:eastAsia="Arial" w:cstheme="minorHAnsi"/>
          <w:b/>
          <w:sz w:val="24"/>
          <w:szCs w:val="24"/>
          <w:lang w:eastAsia="zh-CN" w:bidi="ar"/>
        </w:rPr>
        <w:t>.</w:t>
      </w:r>
      <w:r>
        <w:rPr>
          <w:rFonts w:eastAsia="Arial" w:cstheme="minorHAnsi"/>
          <w:sz w:val="24"/>
          <w:szCs w:val="24"/>
          <w:lang w:eastAsia="zh-CN" w:bidi="ar"/>
        </w:rPr>
        <w:t xml:space="preserve"> Ovaj model upravljanja podrazumijeva </w:t>
      </w:r>
      <w:r>
        <w:rPr>
          <w:rFonts w:eastAsia="Arial" w:cstheme="minorHAnsi"/>
          <w:bCs/>
          <w:sz w:val="24"/>
          <w:szCs w:val="24"/>
          <w:lang w:eastAsia="zh-CN" w:bidi="ar"/>
        </w:rPr>
        <w:t>r</w:t>
      </w:r>
      <w:r>
        <w:rPr>
          <w:rStyle w:val="21"/>
          <w:rFonts w:eastAsia="Arial" w:cstheme="minorHAnsi"/>
          <w:b w:val="0"/>
          <w:sz w:val="24"/>
          <w:szCs w:val="24"/>
        </w:rPr>
        <w:t>avnomjernu distribuciju moći i doprinos svakog pojedinca zajedničkoj viziji.</w:t>
      </w:r>
    </w:p>
    <w:p w14:paraId="63FBBC8F">
      <w:pPr>
        <w:autoSpaceDE w:val="0"/>
        <w:autoSpaceDN w:val="0"/>
        <w:adjustRightInd w:val="0"/>
        <w:spacing w:after="0" w:line="276" w:lineRule="auto"/>
        <w:ind w:firstLine="426"/>
        <w:jc w:val="both"/>
        <w:rPr>
          <w:rFonts w:eastAsia="SimSun" w:cstheme="minorHAnsi"/>
          <w:color w:val="000000"/>
          <w:sz w:val="24"/>
          <w:szCs w:val="24"/>
          <w:lang w:eastAsia="hr-HR"/>
        </w:rPr>
      </w:pPr>
      <w:r>
        <w:rPr>
          <w:rFonts w:eastAsia="SimSun" w:cstheme="minorHAnsi"/>
          <w:color w:val="000000"/>
          <w:sz w:val="24"/>
          <w:szCs w:val="24"/>
          <w:lang w:eastAsia="hr-HR"/>
        </w:rPr>
        <w:t>Kurikulom Dječjeg vrtića "Magnolija" utvrđen je okvirni plan i program rada kroz redovni program, program predškole, program inkluzije djece s teškoćama u razvoju i program rada s roditeljima. Na realizaciji odgojno-obrazovnoga programa zaposleni su ravnatelj,  12 odgojitelja, pedagog, zdravstveni voditelj, a na ostalim općim i pomoćno-tehničkim poslovima 5 djelatnika: glavna kuharica, pomoćna kuharica i 3 spremačice. Ukupno je zaposleno 20 djelatnika. Pri izradi kurikula u fokus su stavljeni specifični uvjeti ustanove i okruženja u kojem ustanova djeluje. U planiranju i programiranju odgojno-obrazovnog rada u središtu su mogućnosti, interesi i potrebe djece, roditelja i lokalne zajednice.</w:t>
      </w:r>
    </w:p>
    <w:p w14:paraId="4B7DB1C2">
      <w:pPr>
        <w:pStyle w:val="24"/>
        <w:spacing w:line="276" w:lineRule="auto"/>
        <w:jc w:val="both"/>
        <w:rPr>
          <w:rFonts w:eastAsia="SimSun" w:asciiTheme="minorHAnsi" w:hAnsiTheme="minorHAnsi" w:cstheme="minorHAnsi"/>
          <w:lang w:eastAsia="hr-HR"/>
        </w:rPr>
      </w:pPr>
      <w:r>
        <w:rPr>
          <w:rFonts w:eastAsia="Arial" w:asciiTheme="minorHAnsi" w:hAnsiTheme="minorHAnsi" w:cstheme="minorHAnsi"/>
          <w:b/>
          <w:bCs/>
          <w:lang w:eastAsia="zh-CN" w:bidi="ar"/>
        </w:rPr>
        <w:tab/>
      </w:r>
      <w:r>
        <w:rPr>
          <w:rFonts w:eastAsia="SimSun" w:asciiTheme="minorHAnsi" w:hAnsiTheme="minorHAnsi" w:cstheme="minorHAnsi"/>
          <w:lang w:eastAsia="hr-HR"/>
        </w:rPr>
        <w:t>Sukladno razvojnom planu ustanove postavljeni su sljedeći razvojni ciljevi:</w:t>
      </w:r>
    </w:p>
    <w:p w14:paraId="30194A53">
      <w:pPr>
        <w:pStyle w:val="25"/>
        <w:numPr>
          <w:ilvl w:val="0"/>
          <w:numId w:val="9"/>
        </w:numPr>
        <w:autoSpaceDE w:val="0"/>
        <w:autoSpaceDN w:val="0"/>
        <w:adjustRightInd w:val="0"/>
        <w:spacing w:after="0" w:line="276" w:lineRule="auto"/>
        <w:jc w:val="both"/>
        <w:rPr>
          <w:rFonts w:eastAsia="SimSun" w:cstheme="minorHAnsi"/>
          <w:color w:val="000000"/>
          <w:sz w:val="24"/>
          <w:szCs w:val="24"/>
          <w:lang w:eastAsia="hr-HR"/>
        </w:rPr>
      </w:pPr>
      <w:r>
        <w:rPr>
          <w:rFonts w:eastAsia="SimSun" w:cstheme="minorHAnsi"/>
          <w:color w:val="000000"/>
          <w:sz w:val="24"/>
          <w:szCs w:val="24"/>
          <w:lang w:eastAsia="hr-HR"/>
        </w:rPr>
        <w:t>poticanje kvalitetnog partnerstva ustanove i roditelja te povezivanje s lokalnom zajednicom,</w:t>
      </w:r>
    </w:p>
    <w:p w14:paraId="55452CBD">
      <w:pPr>
        <w:pStyle w:val="25"/>
        <w:numPr>
          <w:ilvl w:val="0"/>
          <w:numId w:val="9"/>
        </w:numPr>
        <w:autoSpaceDE w:val="0"/>
        <w:autoSpaceDN w:val="0"/>
        <w:adjustRightInd w:val="0"/>
        <w:spacing w:after="0" w:line="276" w:lineRule="auto"/>
        <w:jc w:val="both"/>
        <w:rPr>
          <w:rFonts w:eastAsia="SimSun" w:cstheme="minorHAnsi"/>
          <w:color w:val="000000"/>
          <w:sz w:val="24"/>
          <w:szCs w:val="24"/>
          <w:lang w:eastAsia="hr-HR"/>
        </w:rPr>
      </w:pPr>
      <w:r>
        <w:rPr>
          <w:rFonts w:eastAsia="SimSun" w:cstheme="minorHAnsi"/>
          <w:color w:val="000000"/>
          <w:sz w:val="24"/>
          <w:szCs w:val="24"/>
          <w:lang w:eastAsia="hr-HR"/>
        </w:rPr>
        <w:t>razvijanje institucijskog konteksta za kvalitetnije učenje, odgoj, življenje i razvoj djece,</w:t>
      </w:r>
    </w:p>
    <w:p w14:paraId="7B4F1BDE">
      <w:pPr>
        <w:pStyle w:val="25"/>
        <w:numPr>
          <w:ilvl w:val="0"/>
          <w:numId w:val="9"/>
        </w:numPr>
        <w:pBdr>
          <w:bottom w:val="none" w:color="0A0A0A" w:sz="0" w:space="0"/>
        </w:pBdr>
        <w:spacing w:after="0" w:line="276" w:lineRule="auto"/>
        <w:jc w:val="both"/>
        <w:rPr>
          <w:rFonts w:eastAsia="Arial" w:cstheme="minorHAnsi"/>
          <w:bCs/>
          <w:sz w:val="24"/>
          <w:szCs w:val="24"/>
          <w:lang w:eastAsia="zh-CN" w:bidi="ar"/>
        </w:rPr>
      </w:pPr>
      <w:r>
        <w:rPr>
          <w:rFonts w:eastAsia="SimSun" w:cstheme="minorHAnsi"/>
          <w:color w:val="000000"/>
          <w:sz w:val="24"/>
          <w:szCs w:val="24"/>
          <w:lang w:eastAsia="hr-HR"/>
        </w:rPr>
        <w:t>jačanje kompetencije odgojitelja i stručnih suradnika u planiranju, realizaciji i vrednovanju odgojno-obrazovnoga procesa</w:t>
      </w:r>
      <w:r>
        <w:rPr>
          <w:rFonts w:eastAsia="Arial" w:cstheme="minorHAnsi"/>
          <w:bCs/>
          <w:sz w:val="24"/>
          <w:szCs w:val="24"/>
          <w:lang w:eastAsia="zh-CN" w:bidi="ar"/>
        </w:rPr>
        <w:t>.</w:t>
      </w:r>
    </w:p>
    <w:p w14:paraId="336B9A1E">
      <w:pPr>
        <w:pStyle w:val="25"/>
        <w:pBdr>
          <w:bottom w:val="none" w:color="0A0A0A" w:sz="0" w:space="0"/>
        </w:pBdr>
        <w:spacing w:after="0" w:line="276" w:lineRule="auto"/>
        <w:ind w:left="360"/>
        <w:jc w:val="both"/>
        <w:rPr>
          <w:rFonts w:eastAsia="Arial" w:cstheme="minorHAnsi"/>
          <w:bCs/>
          <w:sz w:val="24"/>
          <w:szCs w:val="24"/>
          <w:lang w:eastAsia="zh-CN" w:bidi="ar"/>
        </w:rPr>
      </w:pPr>
    </w:p>
    <w:p w14:paraId="71E0C035">
      <w:pPr>
        <w:pStyle w:val="3"/>
        <w:rPr>
          <w:rFonts w:eastAsia="Arial" w:asciiTheme="minorHAnsi" w:hAnsiTheme="minorHAnsi" w:cstheme="minorHAnsi"/>
        </w:rPr>
      </w:pPr>
      <w:r>
        <w:rPr>
          <w:rFonts w:eastAsia="Arial" w:asciiTheme="minorHAnsi" w:hAnsiTheme="minorHAnsi" w:cstheme="minorHAnsi"/>
        </w:rPr>
        <w:t>Specifičnosti Dječjeg vrtića „Magnolija“</w:t>
      </w:r>
    </w:p>
    <w:p w14:paraId="3292008A">
      <w:pPr>
        <w:pBdr>
          <w:bottom w:val="none" w:color="0A0A0A" w:sz="0" w:space="0"/>
        </w:pBdr>
        <w:spacing w:after="0" w:line="276" w:lineRule="auto"/>
        <w:ind w:firstLine="426"/>
        <w:jc w:val="both"/>
        <w:rPr>
          <w:rFonts w:eastAsia="Arial" w:cstheme="minorHAnsi"/>
          <w:bCs/>
          <w:sz w:val="24"/>
          <w:szCs w:val="24"/>
          <w:lang w:eastAsia="zh-CN" w:bidi="ar"/>
        </w:rPr>
      </w:pPr>
      <w:r>
        <w:rPr>
          <w:rFonts w:eastAsia="Arial" w:cstheme="minorHAnsi"/>
          <w:bCs/>
          <w:sz w:val="24"/>
          <w:szCs w:val="24"/>
          <w:lang w:eastAsia="zh-CN" w:bidi="ar"/>
        </w:rPr>
        <w:t>Dječji vrtić „Magnolija“ djeluje u Općini Pribislavec, sredini koja njeguje bogatu kulturnu tradiciju, međusobnu povezanost stanovnika i blizinu prirodnog okruženja. U planiranju i provedbi odgojno-obrazovnoga rada posebna se pozornost posvećuje upoznavanju djece s lokalnom zajednicom, njezinom kulturnom baštinom, običajima i prirodnim posebnostima, čime se razvija osjećaj pripadnosti, identiteta i odgovornosti prema zavičaju.</w:t>
      </w:r>
    </w:p>
    <w:p w14:paraId="262B741E">
      <w:pPr>
        <w:pBdr>
          <w:bottom w:val="none" w:color="0A0A0A" w:sz="0" w:space="0"/>
        </w:pBdr>
        <w:spacing w:after="0" w:line="276" w:lineRule="auto"/>
        <w:ind w:firstLine="426"/>
        <w:jc w:val="both"/>
        <w:rPr>
          <w:rFonts w:eastAsia="Arial" w:cstheme="minorHAnsi"/>
          <w:bCs/>
          <w:sz w:val="24"/>
          <w:szCs w:val="24"/>
          <w:lang w:eastAsia="zh-CN" w:bidi="ar"/>
        </w:rPr>
      </w:pPr>
      <w:r>
        <w:rPr>
          <w:rFonts w:eastAsia="Arial" w:cstheme="minorHAnsi"/>
          <w:bCs/>
          <w:sz w:val="24"/>
          <w:szCs w:val="24"/>
          <w:lang w:eastAsia="zh-CN" w:bidi="ar"/>
        </w:rPr>
        <w:t>Kao novoosnovana ustanova, Dječji vrtić „Magnolija“ razvija kulturu otvorene komunikacije, međusobnog uvažavanja i partnerskih odnosa između djece, roditelja, zaposlenika i lokalne zajednice. Vrtić nastoji biti mjesto zajedničkog učenja, suradnje i međusobne podrške, u kojem se poštuju individualnost svakog djeteta, različitosti i pravo na jednake mogućnosti razvoja.</w:t>
      </w:r>
    </w:p>
    <w:p w14:paraId="6C126F66">
      <w:pPr>
        <w:pBdr>
          <w:bottom w:val="none" w:color="0A0A0A" w:sz="0" w:space="0"/>
        </w:pBdr>
        <w:spacing w:after="0" w:line="276" w:lineRule="auto"/>
        <w:jc w:val="both"/>
        <w:rPr>
          <w:rFonts w:eastAsia="Arial" w:cstheme="minorHAnsi"/>
          <w:bCs/>
          <w:sz w:val="24"/>
          <w:szCs w:val="24"/>
          <w:lang w:eastAsia="zh-CN" w:bidi="ar"/>
        </w:rPr>
      </w:pPr>
      <w:r>
        <w:rPr>
          <w:rFonts w:eastAsia="Arial" w:cstheme="minorHAnsi"/>
          <w:bCs/>
          <w:sz w:val="24"/>
          <w:szCs w:val="24"/>
          <w:lang w:eastAsia="zh-CN" w:bidi="ar"/>
        </w:rPr>
        <w:t>Poseban naglasak stavlja se na istraživačko učenje, razvoj samostalnosti, poticanje dječje znatiželje te odgoj za održivi razvoj. Djeci se svakodnevno omogućuju iskustva učenja kroz igru, istraživanje, boravak na otvorenom, neposredan kontakt s prirodom i aktivno sudjelovanje u životu lokalne zajednice.</w:t>
      </w:r>
    </w:p>
    <w:p w14:paraId="1A48875B">
      <w:pPr>
        <w:pBdr>
          <w:bottom w:val="none" w:color="0A0A0A" w:sz="0" w:space="0"/>
        </w:pBdr>
        <w:spacing w:after="0" w:line="276" w:lineRule="auto"/>
        <w:ind w:firstLine="432"/>
        <w:jc w:val="both"/>
        <w:rPr>
          <w:rFonts w:eastAsia="Arial" w:cstheme="minorHAnsi"/>
          <w:bCs/>
          <w:sz w:val="24"/>
          <w:szCs w:val="24"/>
          <w:lang w:eastAsia="zh-CN" w:bidi="ar"/>
        </w:rPr>
      </w:pPr>
      <w:r>
        <w:rPr>
          <w:rFonts w:eastAsia="Arial" w:cstheme="minorHAnsi"/>
          <w:bCs/>
          <w:sz w:val="24"/>
          <w:szCs w:val="24"/>
          <w:lang w:eastAsia="zh-CN" w:bidi="ar"/>
        </w:rPr>
        <w:t>Dječji vrtić „Magnolija“ razvija suradnju s Općinom Pribislavec, osnovnom školom, kulturnim, zdravstvenim i drugim ustanovama te udrugama koje svojim djelovanjem doprinose kvaliteti života djece i obitelji. Takvom suradnjom djeci se omogućuju raznolika iskustva, upoznavanje zajednice u kojoj odrastaju te razvoj građanskih, socijalnih i kulturnih kompetencija.</w:t>
      </w:r>
    </w:p>
    <w:p w14:paraId="515E1955">
      <w:pPr>
        <w:pBdr>
          <w:bottom w:val="none" w:color="0A0A0A" w:sz="0" w:space="0"/>
        </w:pBdr>
        <w:spacing w:after="0" w:line="276" w:lineRule="auto"/>
        <w:jc w:val="both"/>
        <w:rPr>
          <w:rFonts w:eastAsia="Arial" w:cstheme="minorHAnsi"/>
          <w:bCs/>
          <w:sz w:val="24"/>
          <w:szCs w:val="24"/>
          <w:lang w:eastAsia="zh-CN" w:bidi="ar"/>
        </w:rPr>
      </w:pPr>
    </w:p>
    <w:p w14:paraId="5BCD7F8E">
      <w:pPr>
        <w:pStyle w:val="2"/>
        <w:spacing w:line="276" w:lineRule="auto"/>
        <w:rPr>
          <w:rFonts w:asciiTheme="minorHAnsi" w:hAnsiTheme="minorHAnsi" w:cstheme="minorHAnsi"/>
        </w:rPr>
      </w:pPr>
      <w:r>
        <w:rPr>
          <w:rFonts w:asciiTheme="minorHAnsi" w:hAnsiTheme="minorHAnsi" w:cstheme="minorHAnsi"/>
        </w:rPr>
        <w:t>PROGRAMI</w:t>
      </w:r>
    </w:p>
    <w:p w14:paraId="5BE30848">
      <w:pPr>
        <w:spacing w:line="276" w:lineRule="auto"/>
        <w:ind w:firstLine="420"/>
        <w:rPr>
          <w:rFonts w:cstheme="minorHAnsi"/>
          <w:sz w:val="24"/>
          <w:szCs w:val="24"/>
          <w:lang w:eastAsia="zh-CN" w:bidi="ar"/>
        </w:rPr>
      </w:pPr>
      <w:r>
        <w:rPr>
          <w:rFonts w:cstheme="minorHAnsi"/>
          <w:sz w:val="24"/>
          <w:szCs w:val="24"/>
          <w:lang w:eastAsia="zh-CN" w:bidi="ar"/>
        </w:rPr>
        <w:t>Kurikul je razrađen po odgojno-obrazovnim programima.</w:t>
      </w:r>
    </w:p>
    <w:p w14:paraId="535C93F5">
      <w:pPr>
        <w:pStyle w:val="3"/>
        <w:rPr>
          <w:rFonts w:eastAsia="Arial" w:asciiTheme="minorHAnsi" w:hAnsiTheme="minorHAnsi" w:cstheme="minorHAnsi"/>
        </w:rPr>
      </w:pPr>
      <w:r>
        <w:rPr>
          <w:rFonts w:eastAsia="Arial" w:asciiTheme="minorHAnsi" w:hAnsiTheme="minorHAnsi" w:cstheme="minorHAnsi"/>
        </w:rPr>
        <w:t xml:space="preserve">Redoviti programi </w:t>
      </w:r>
    </w:p>
    <w:p w14:paraId="094817EE">
      <w:pPr>
        <w:autoSpaceDE w:val="0"/>
        <w:autoSpaceDN w:val="0"/>
        <w:adjustRightInd w:val="0"/>
        <w:spacing w:after="0" w:line="276" w:lineRule="auto"/>
        <w:ind w:firstLine="420"/>
        <w:jc w:val="both"/>
        <w:rPr>
          <w:rFonts w:eastAsia="SimSun" w:cstheme="minorHAnsi"/>
          <w:color w:val="000000"/>
          <w:sz w:val="24"/>
          <w:szCs w:val="24"/>
          <w:lang w:eastAsia="hr-HR"/>
        </w:rPr>
      </w:pPr>
      <w:r>
        <w:rPr>
          <w:rFonts w:eastAsia="SimSun" w:cstheme="minorHAnsi"/>
          <w:color w:val="000000"/>
          <w:sz w:val="24"/>
          <w:szCs w:val="24"/>
          <w:lang w:eastAsia="hr-HR"/>
        </w:rPr>
        <w:t xml:space="preserve">Dječji vrtić „Magnolija“ provodi redoviti 10-satni program ranog i predškolskog odgoja za svu djecu od navršenih 12 mjeseci života do polaska u školu u skladu sa </w:t>
      </w:r>
      <w:r>
        <w:rPr>
          <w:rFonts w:eastAsia="SimSun" w:cstheme="minorHAnsi"/>
          <w:i/>
          <w:iCs/>
          <w:color w:val="000000"/>
          <w:sz w:val="24"/>
          <w:szCs w:val="24"/>
          <w:lang w:eastAsia="hr-HR"/>
        </w:rPr>
        <w:t xml:space="preserve">Zakonom o predškolskom odgoju i obrazovanju </w:t>
      </w:r>
      <w:r>
        <w:rPr>
          <w:rFonts w:eastAsia="SimSun" w:cstheme="minorHAnsi"/>
          <w:color w:val="000000"/>
          <w:sz w:val="24"/>
          <w:szCs w:val="24"/>
          <w:lang w:eastAsia="hr-HR"/>
        </w:rPr>
        <w:t xml:space="preserve">(NN 22/26), </w:t>
      </w:r>
      <w:r>
        <w:rPr>
          <w:rFonts w:eastAsia="SimSun" w:cstheme="minorHAnsi"/>
          <w:i/>
          <w:iCs/>
          <w:color w:val="000000"/>
          <w:sz w:val="24"/>
          <w:szCs w:val="24"/>
          <w:lang w:eastAsia="hr-HR"/>
        </w:rPr>
        <w:t xml:space="preserve">Državnim pedagoškim standardom </w:t>
      </w:r>
      <w:r>
        <w:rPr>
          <w:rFonts w:eastAsia="SimSun" w:cstheme="minorHAnsi"/>
          <w:color w:val="000000"/>
          <w:sz w:val="24"/>
          <w:szCs w:val="24"/>
          <w:lang w:eastAsia="hr-HR"/>
        </w:rPr>
        <w:t xml:space="preserve">(NN 63/2008) te </w:t>
      </w:r>
      <w:r>
        <w:rPr>
          <w:rFonts w:eastAsia="SimSun" w:cstheme="minorHAnsi"/>
          <w:i/>
          <w:iCs/>
          <w:color w:val="000000"/>
          <w:sz w:val="24"/>
          <w:szCs w:val="24"/>
          <w:lang w:eastAsia="hr-HR"/>
        </w:rPr>
        <w:t>Nacionalnim kurikulu za rani i predškolski odgoj i obrazovanje</w:t>
      </w:r>
      <w:r>
        <w:rPr>
          <w:rFonts w:eastAsia="SimSun" w:cstheme="minorHAnsi"/>
          <w:color w:val="000000"/>
          <w:sz w:val="24"/>
          <w:szCs w:val="24"/>
          <w:lang w:eastAsia="hr-HR"/>
        </w:rPr>
        <w:t>. Programi i organizacija rada u našem vrtiću temelje se na razvojno-primjerenom kurikulu usmjerenom na dijete i humanističkoj koncepciji razvoja predškolskog odgoja.</w:t>
      </w:r>
    </w:p>
    <w:p w14:paraId="39DC4486">
      <w:pPr>
        <w:autoSpaceDE w:val="0"/>
        <w:autoSpaceDN w:val="0"/>
        <w:adjustRightInd w:val="0"/>
        <w:spacing w:after="0" w:line="276" w:lineRule="auto"/>
        <w:ind w:firstLine="420"/>
        <w:jc w:val="both"/>
        <w:rPr>
          <w:rFonts w:eastAsia="SimSun" w:cstheme="minorHAnsi"/>
          <w:color w:val="000000"/>
          <w:sz w:val="24"/>
          <w:szCs w:val="24"/>
          <w:lang w:eastAsia="hr-HR"/>
        </w:rPr>
      </w:pPr>
    </w:p>
    <w:p w14:paraId="53658CE1">
      <w:pPr>
        <w:pStyle w:val="4"/>
        <w:spacing w:line="276" w:lineRule="auto"/>
        <w:rPr>
          <w:rFonts w:asciiTheme="minorHAnsi" w:hAnsiTheme="minorHAnsi" w:cstheme="minorHAnsi"/>
        </w:rPr>
      </w:pPr>
      <w:r>
        <w:rPr>
          <w:rFonts w:asciiTheme="minorHAnsi" w:hAnsiTheme="minorHAnsi" w:cstheme="minorHAnsi"/>
        </w:rPr>
        <w:t xml:space="preserve">Ciljevi i namjena redovitih programa </w:t>
      </w:r>
    </w:p>
    <w:p w14:paraId="79DA67E1">
      <w:pPr>
        <w:autoSpaceDE w:val="0"/>
        <w:autoSpaceDN w:val="0"/>
        <w:adjustRightInd w:val="0"/>
        <w:spacing w:line="276" w:lineRule="auto"/>
        <w:ind w:firstLine="420"/>
        <w:jc w:val="both"/>
        <w:rPr>
          <w:rFonts w:eastAsia="SimSun" w:cstheme="minorHAnsi"/>
          <w:color w:val="000000"/>
          <w:sz w:val="24"/>
          <w:szCs w:val="24"/>
          <w:lang w:eastAsia="hr-HR"/>
        </w:rPr>
      </w:pPr>
      <w:r>
        <w:rPr>
          <w:rFonts w:eastAsia="SimSun" w:cstheme="minorHAnsi"/>
          <w:color w:val="000000"/>
          <w:sz w:val="23"/>
          <w:szCs w:val="23"/>
          <w:lang w:eastAsia="hr-HR"/>
        </w:rPr>
        <w:t xml:space="preserve">Cjeloviti razvojni programi ranog i predškolskog odgoja i obrazovanja provode se za djecu od navršenih 12 mjeseci života do polaska u osnovnu školu. Program se provodi u 6 odgojnih skupina, radnim danom </w:t>
      </w:r>
      <w:r>
        <w:rPr>
          <w:rFonts w:eastAsia="SimSun" w:cstheme="minorHAnsi"/>
          <w:sz w:val="23"/>
          <w:szCs w:val="23"/>
          <w:lang w:eastAsia="hr-HR"/>
        </w:rPr>
        <w:t xml:space="preserve">od 6.00 do 16.30 sati. </w:t>
      </w:r>
      <w:r>
        <w:rPr>
          <w:rFonts w:eastAsia="SimSun" w:cstheme="minorHAnsi"/>
          <w:color w:val="000000"/>
          <w:sz w:val="23"/>
          <w:szCs w:val="23"/>
          <w:lang w:eastAsia="hr-HR"/>
        </w:rPr>
        <w:t>Skupine dijelimo prema kronološkoj dobi djeteta u jasličke skupine (djeca od 1. do 3.godine) i vrtićke skupine (djeca od 3. do 7. godine).</w:t>
      </w:r>
    </w:p>
    <w:p w14:paraId="4AD02244">
      <w:pPr>
        <w:spacing w:after="0" w:line="276" w:lineRule="auto"/>
        <w:ind w:firstLine="360"/>
        <w:jc w:val="both"/>
        <w:rPr>
          <w:rFonts w:eastAsia="Times New Roman" w:cstheme="minorHAnsi"/>
          <w:sz w:val="24"/>
          <w:szCs w:val="24"/>
          <w:lang w:eastAsia="hr-HR"/>
        </w:rPr>
      </w:pPr>
      <w:r>
        <w:rPr>
          <w:rFonts w:eastAsia="Times New Roman" w:cstheme="minorHAnsi"/>
          <w:sz w:val="24"/>
          <w:szCs w:val="24"/>
          <w:lang w:eastAsia="hr-HR"/>
        </w:rPr>
        <w:t>Temeljni cilj redovitog programa dječjeg vrtića jest osiguravanje optimalnih uvjeta za potpun, skladan i cjelovit razvoj djetetove osobnosti te pružanje jednakih mogućnosti za svako dijete. Ovaj se cilj operacionalizira kroz sljedeće aspekte:</w:t>
      </w:r>
    </w:p>
    <w:p w14:paraId="2DBF6A8A">
      <w:pPr>
        <w:pStyle w:val="25"/>
        <w:numPr>
          <w:ilvl w:val="0"/>
          <w:numId w:val="10"/>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zadovoljavanje specifičnih potreba (</w:t>
      </w:r>
      <w:r>
        <w:rPr>
          <w:rFonts w:eastAsia="Times New Roman" w:cstheme="minorHAnsi"/>
          <w:sz w:val="24"/>
          <w:szCs w:val="24"/>
          <w:lang w:eastAsia="hr-HR"/>
        </w:rPr>
        <w:t>kontinuirano prepoznavanje i uvažavanje potreba svakog djeteta),</w:t>
      </w:r>
    </w:p>
    <w:p w14:paraId="2366EFD3">
      <w:pPr>
        <w:pStyle w:val="25"/>
        <w:numPr>
          <w:ilvl w:val="0"/>
          <w:numId w:val="10"/>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aktualizaciju dječjih potencijala (osm</w:t>
      </w:r>
      <w:r>
        <w:rPr>
          <w:rFonts w:eastAsia="Times New Roman" w:cstheme="minorHAnsi"/>
          <w:sz w:val="24"/>
          <w:szCs w:val="24"/>
          <w:lang w:eastAsia="hr-HR"/>
        </w:rPr>
        <w:t>išljavanje poticajnih aktivnosti  kroz koje djeca mogu slobodno izražavati i razvijati svoje individualne kompetencije i interese)</w:t>
      </w:r>
    </w:p>
    <w:p w14:paraId="3F0B3444">
      <w:pPr>
        <w:pStyle w:val="25"/>
        <w:numPr>
          <w:ilvl w:val="0"/>
          <w:numId w:val="10"/>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kreiranje poticajnog i kreativnog ozračja</w:t>
      </w:r>
      <w:r>
        <w:rPr>
          <w:rFonts w:eastAsia="Times New Roman" w:cstheme="minorHAnsi"/>
          <w:sz w:val="24"/>
          <w:szCs w:val="24"/>
          <w:lang w:eastAsia="hr-HR"/>
        </w:rPr>
        <w:t xml:space="preserve"> (osiguravanje mogućnosti izbora materijala i sredstava koji potiču na istraživanje i stvaralaštvo),</w:t>
      </w:r>
    </w:p>
    <w:p w14:paraId="2BE0DA8A">
      <w:pPr>
        <w:pStyle w:val="25"/>
        <w:numPr>
          <w:ilvl w:val="0"/>
          <w:numId w:val="10"/>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izgradnju socijalnih kompetencija (</w:t>
      </w:r>
      <w:r>
        <w:rPr>
          <w:rFonts w:eastAsia="Times New Roman" w:cstheme="minorHAnsi"/>
          <w:sz w:val="24"/>
          <w:szCs w:val="24"/>
          <w:lang w:eastAsia="hr-HR"/>
        </w:rPr>
        <w:t>sustavno poticanje i usvajanje vještina potrebnih za uspješno i funkcionalno djelovanje u socijalnom okruženju i vršnjačkoj skupini).</w:t>
      </w:r>
    </w:p>
    <w:p w14:paraId="7081CA1B">
      <w:pPr>
        <w:pStyle w:val="25"/>
        <w:spacing w:line="276" w:lineRule="auto"/>
        <w:jc w:val="both"/>
        <w:rPr>
          <w:rFonts w:eastAsia="Times New Roman" w:cstheme="minorHAnsi"/>
          <w:sz w:val="24"/>
          <w:szCs w:val="24"/>
          <w:lang w:eastAsia="hr-HR"/>
        </w:rPr>
      </w:pPr>
    </w:p>
    <w:p w14:paraId="6C2C9EB2">
      <w:pPr>
        <w:pStyle w:val="4"/>
        <w:spacing w:line="276" w:lineRule="auto"/>
        <w:rPr>
          <w:rFonts w:asciiTheme="minorHAnsi" w:hAnsiTheme="minorHAnsi" w:cstheme="minorHAnsi"/>
        </w:rPr>
      </w:pPr>
      <w:r>
        <w:rPr>
          <w:rStyle w:val="21"/>
          <w:rFonts w:asciiTheme="minorHAnsi" w:hAnsiTheme="minorHAnsi" w:cstheme="minorHAnsi"/>
          <w:b/>
          <w:bCs/>
        </w:rPr>
        <w:t>Način realizacije</w:t>
      </w:r>
    </w:p>
    <w:p w14:paraId="7325EB72">
      <w:pPr>
        <w:pStyle w:val="20"/>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Redoviti program ostvaruje se kroz integrirani pristup učenju koji objedinjuje tematske i projektne aktivnosti, pri čemu se djeci omogućuje stjecanje iskustava kroz igru, istraživanje i aktivno sudjelovanje. Odgojno-obrazovno okruženje oblikuje se tako da potiče dječju znatiželju, samostalnost, kreativnost i suradnju te omogućuje raznolike oblike učenja. Sadržaji i aktivnosti osmišljavaju se u skladu s razvojnim obilježjima djece predškolske dobi, vodeći računa o individualnim potrebama, interesima, sposobnostima i tempu razvoja svakog djeteta. Posebna se pozornost posvećuje stvaranju poticajnog i fleksibilnog okruženja u kojem svako dijete ima mogućnost razvijati svoje potencijale i stjecati nova znanja, vještine i iskustva. Planiranje odgojno-obrazovnog rada temelji se na kontinuiranom praćenju djece, njihovih interesa i razvojnih potreba. Aktivnosti se prema potrebi prilagođavaju kako bi se osigurao cjelovit razvoj djeteta na spoznajnom, tjelesnom, emocionalnom, socijalnom i komunikacijskom području.</w:t>
      </w:r>
    </w:p>
    <w:p w14:paraId="554703E3">
      <w:pPr>
        <w:pStyle w:val="20"/>
        <w:spacing w:before="0" w:beforeAutospacing="0" w:after="0" w:afterAutospacing="0" w:line="276" w:lineRule="auto"/>
        <w:ind w:firstLine="426"/>
        <w:jc w:val="both"/>
        <w:rPr>
          <w:rFonts w:asciiTheme="minorHAnsi" w:hAnsiTheme="minorHAnsi" w:cstheme="minorHAnsi"/>
        </w:rPr>
      </w:pPr>
    </w:p>
    <w:p w14:paraId="10C67AFD">
      <w:pPr>
        <w:pStyle w:val="3"/>
        <w:rPr>
          <w:rFonts w:asciiTheme="minorHAnsi" w:hAnsiTheme="minorHAnsi" w:cstheme="minorHAnsi"/>
        </w:rPr>
      </w:pPr>
      <w:r>
        <w:rPr>
          <w:rFonts w:asciiTheme="minorHAnsi" w:hAnsiTheme="minorHAnsi" w:cstheme="minorHAnsi"/>
        </w:rPr>
        <w:t>Program predškole</w:t>
      </w:r>
    </w:p>
    <w:p w14:paraId="2968F814">
      <w:pPr>
        <w:spacing w:after="0" w:line="276" w:lineRule="auto"/>
        <w:ind w:firstLine="426"/>
        <w:jc w:val="both"/>
        <w:rPr>
          <w:rFonts w:eastAsia="Times New Roman" w:cstheme="minorHAnsi"/>
          <w:sz w:val="24"/>
          <w:szCs w:val="24"/>
          <w:lang w:eastAsia="hr-HR"/>
        </w:rPr>
      </w:pPr>
      <w:r>
        <w:rPr>
          <w:rFonts w:eastAsia="Times New Roman" w:cstheme="minorHAnsi"/>
          <w:sz w:val="24"/>
          <w:szCs w:val="24"/>
          <w:lang w:eastAsia="hr-HR"/>
        </w:rPr>
        <w:t>Primarni cilj programa predškole jest osiguravanje cjelovite dobrobiti djeteta kroz poticanje njegova odgoja, učenja i razvoja ključnih kompetencija u godini prije polaska u osnovnu školu. U sigurnom i poticajnom okruženju program nastoji maksimalno aktualizirati dječje potencijale te stvoriti optimalne preduvjete za uspješnu tranziciju u osnovnoškolski sustav.</w:t>
      </w:r>
    </w:p>
    <w:p w14:paraId="1302355C">
      <w:pPr>
        <w:spacing w:after="0" w:line="276" w:lineRule="auto"/>
        <w:ind w:firstLine="426"/>
        <w:jc w:val="both"/>
        <w:rPr>
          <w:rFonts w:eastAsia="Times New Roman" w:cstheme="minorHAnsi"/>
          <w:sz w:val="24"/>
          <w:szCs w:val="24"/>
          <w:lang w:eastAsia="hr-HR"/>
        </w:rPr>
      </w:pPr>
    </w:p>
    <w:p w14:paraId="3B01EBA3">
      <w:pPr>
        <w:pStyle w:val="4"/>
        <w:spacing w:line="276" w:lineRule="auto"/>
        <w:rPr>
          <w:rFonts w:asciiTheme="minorHAnsi" w:hAnsiTheme="minorHAnsi" w:cstheme="minorHAnsi"/>
        </w:rPr>
      </w:pPr>
      <w:r>
        <w:rPr>
          <w:rFonts w:asciiTheme="minorHAnsi" w:hAnsiTheme="minorHAnsi" w:cstheme="minorHAnsi"/>
        </w:rPr>
        <w:t>Ciljevi i namjena programa predškole</w:t>
      </w:r>
    </w:p>
    <w:p w14:paraId="53B993EC">
      <w:pPr>
        <w:spacing w:after="0" w:line="276" w:lineRule="auto"/>
        <w:ind w:firstLine="426"/>
        <w:jc w:val="both"/>
        <w:rPr>
          <w:rFonts w:eastAsia="Times New Roman" w:cstheme="minorHAnsi"/>
          <w:sz w:val="24"/>
          <w:szCs w:val="24"/>
          <w:lang w:eastAsia="hr-HR"/>
        </w:rPr>
      </w:pPr>
      <w:r>
        <w:rPr>
          <w:rFonts w:eastAsia="Times New Roman" w:cstheme="minorHAnsi"/>
          <w:sz w:val="24"/>
          <w:szCs w:val="24"/>
          <w:lang w:eastAsia="hr-HR"/>
        </w:rPr>
        <w:t>Ciljevi programa obuhvaćaju sustavno razvijanje i unaprjeđivanje spoznajnih, emocionalnih, tjelesnih, socijalnih i komunikacijskih sposobnosti djeteta te razvijanje znanja, vještina, radnih i higijenskih navika koje će djetetu omogućiti laku prilagodbu novom školskom okruženju i uspješno svladavanje budućih odgojno-obrazovnih sadržaja.</w:t>
      </w:r>
    </w:p>
    <w:p w14:paraId="116C980F">
      <w:pPr>
        <w:spacing w:line="276" w:lineRule="auto"/>
        <w:ind w:firstLine="426"/>
        <w:jc w:val="both"/>
        <w:rPr>
          <w:rFonts w:eastAsia="Times New Roman" w:cstheme="minorHAnsi"/>
          <w:sz w:val="24"/>
          <w:szCs w:val="24"/>
          <w:lang w:eastAsia="hr-HR"/>
        </w:rPr>
      </w:pPr>
      <w:r>
        <w:rPr>
          <w:rFonts w:eastAsia="Times New Roman" w:cstheme="minorHAnsi"/>
          <w:sz w:val="24"/>
          <w:szCs w:val="24"/>
          <w:lang w:eastAsia="hr-HR"/>
        </w:rPr>
        <w:t xml:space="preserve">Program predškole namijenjen je svoj djeci u godini prije polaska u osnovnu školu, pružajući im priliku za stjecanje vrijednog iskustva, znanja i vještina potrebne za daljnji odgoj i obrazovanje: </w:t>
      </w:r>
    </w:p>
    <w:p w14:paraId="0E122A54">
      <w:pPr>
        <w:pStyle w:val="25"/>
        <w:numPr>
          <w:ilvl w:val="0"/>
          <w:numId w:val="11"/>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uvažavanje specifičnog konteksta (p</w:t>
      </w:r>
      <w:r>
        <w:rPr>
          <w:rFonts w:eastAsia="Times New Roman" w:cstheme="minorHAnsi"/>
          <w:sz w:val="24"/>
          <w:szCs w:val="24"/>
          <w:lang w:eastAsia="hr-HR"/>
        </w:rPr>
        <w:t>ri planiranju aktivnosti u obzir se uzimaju individualni kontekst odrastanja djeteta te kultura, tradicija i specifičnosti okruženja u kojem živi njegova obitelj);</w:t>
      </w:r>
    </w:p>
    <w:p w14:paraId="69EE98CD">
      <w:pPr>
        <w:pStyle w:val="25"/>
        <w:numPr>
          <w:ilvl w:val="0"/>
          <w:numId w:val="11"/>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osiguravanje pedagoškog standarda (p</w:t>
      </w:r>
      <w:r>
        <w:rPr>
          <w:rFonts w:eastAsia="Times New Roman" w:cstheme="minorHAnsi"/>
          <w:sz w:val="24"/>
          <w:szCs w:val="24"/>
          <w:lang w:eastAsia="hr-HR"/>
        </w:rPr>
        <w:t>rogram se primarno provodi u dječjem vrtiću);</w:t>
      </w:r>
    </w:p>
    <w:p w14:paraId="0168EAD6">
      <w:pPr>
        <w:pStyle w:val="25"/>
        <w:numPr>
          <w:ilvl w:val="0"/>
          <w:numId w:val="11"/>
        </w:numPr>
        <w:spacing w:line="276" w:lineRule="auto"/>
        <w:jc w:val="both"/>
        <w:rPr>
          <w:rFonts w:eastAsia="Times New Roman" w:cstheme="minorHAnsi"/>
          <w:sz w:val="24"/>
          <w:szCs w:val="24"/>
          <w:lang w:eastAsia="hr-HR"/>
        </w:rPr>
      </w:pPr>
      <w:r>
        <w:rPr>
          <w:rFonts w:eastAsia="Times New Roman" w:cstheme="minorHAnsi"/>
          <w:bCs/>
          <w:sz w:val="24"/>
          <w:szCs w:val="24"/>
          <w:lang w:eastAsia="hr-HR"/>
        </w:rPr>
        <w:t>integrirani model rada (</w:t>
      </w:r>
      <w:r>
        <w:rPr>
          <w:rFonts w:eastAsia="Times New Roman" w:cstheme="minorHAnsi"/>
          <w:sz w:val="24"/>
          <w:szCs w:val="24"/>
          <w:lang w:eastAsia="hr-HR"/>
        </w:rPr>
        <w:t xml:space="preserve">program predškole u potpunosti je </w:t>
      </w:r>
      <w:r>
        <w:rPr>
          <w:rFonts w:eastAsia="Times New Roman" w:cstheme="minorHAnsi"/>
          <w:bCs/>
          <w:sz w:val="24"/>
          <w:szCs w:val="24"/>
          <w:lang w:eastAsia="hr-HR"/>
        </w:rPr>
        <w:t>integriran u redoviti cjelodnevni odgojno-obrazovni program</w:t>
      </w:r>
      <w:r>
        <w:rPr>
          <w:rFonts w:eastAsia="Times New Roman" w:cstheme="minorHAnsi"/>
          <w:sz w:val="24"/>
          <w:szCs w:val="24"/>
          <w:lang w:eastAsia="hr-HR"/>
        </w:rPr>
        <w:t>, što omogućuje prirodan suživot, socijalizaciju i učenje kroz svakodnevne aktivnosti u skupini).</w:t>
      </w:r>
    </w:p>
    <w:p w14:paraId="126E6CD4">
      <w:pPr>
        <w:pStyle w:val="25"/>
        <w:spacing w:line="276" w:lineRule="auto"/>
        <w:jc w:val="both"/>
        <w:rPr>
          <w:rFonts w:eastAsia="Times New Roman" w:cstheme="minorHAnsi"/>
          <w:sz w:val="24"/>
          <w:szCs w:val="24"/>
          <w:lang w:eastAsia="hr-HR"/>
        </w:rPr>
      </w:pPr>
    </w:p>
    <w:p w14:paraId="27D0A893">
      <w:pPr>
        <w:pStyle w:val="25"/>
        <w:spacing w:line="276" w:lineRule="auto"/>
        <w:jc w:val="both"/>
        <w:rPr>
          <w:rFonts w:eastAsia="Times New Roman" w:cstheme="minorHAnsi"/>
          <w:sz w:val="24"/>
          <w:szCs w:val="24"/>
          <w:lang w:eastAsia="hr-HR"/>
        </w:rPr>
      </w:pPr>
    </w:p>
    <w:p w14:paraId="4387FA3C">
      <w:pPr>
        <w:pStyle w:val="4"/>
        <w:spacing w:line="276" w:lineRule="auto"/>
        <w:rPr>
          <w:rFonts w:asciiTheme="minorHAnsi" w:hAnsiTheme="minorHAnsi" w:cstheme="minorHAnsi"/>
        </w:rPr>
      </w:pPr>
      <w:r>
        <w:rPr>
          <w:rFonts w:asciiTheme="minorHAnsi" w:hAnsiTheme="minorHAnsi" w:cstheme="minorHAnsi"/>
        </w:rPr>
        <w:t>Način realizacije programa predškole</w:t>
      </w:r>
    </w:p>
    <w:p w14:paraId="5297B2AA">
      <w:pPr>
        <w:spacing w:line="276" w:lineRule="auto"/>
        <w:ind w:firstLine="426"/>
        <w:rPr>
          <w:rFonts w:eastAsia="Times New Roman" w:cstheme="minorHAnsi"/>
          <w:sz w:val="24"/>
          <w:szCs w:val="24"/>
          <w:lang w:eastAsia="hr-HR"/>
        </w:rPr>
      </w:pPr>
      <w:r>
        <w:rPr>
          <w:rFonts w:eastAsia="Times New Roman" w:cstheme="minorHAnsi"/>
          <w:sz w:val="24"/>
          <w:szCs w:val="24"/>
          <w:lang w:eastAsia="hr-HR"/>
        </w:rPr>
        <w:t>Odgojno-obrazovni rad u programu predškole ostvaruje se kroz suvremene kurikularne modele i fleksibilan pristup prilagođen djetetu:</w:t>
      </w:r>
    </w:p>
    <w:p w14:paraId="20AE0445">
      <w:pPr>
        <w:pStyle w:val="25"/>
        <w:numPr>
          <w:ilvl w:val="0"/>
          <w:numId w:val="12"/>
        </w:numPr>
        <w:spacing w:after="0" w:line="276" w:lineRule="auto"/>
        <w:jc w:val="both"/>
        <w:rPr>
          <w:rFonts w:eastAsia="Times New Roman" w:cstheme="minorHAnsi"/>
          <w:sz w:val="24"/>
          <w:szCs w:val="24"/>
          <w:lang w:eastAsia="hr-HR"/>
        </w:rPr>
      </w:pPr>
      <w:r>
        <w:rPr>
          <w:rFonts w:eastAsia="Times New Roman" w:cstheme="minorHAnsi"/>
          <w:bCs/>
          <w:sz w:val="24"/>
          <w:szCs w:val="24"/>
          <w:u w:val="single"/>
          <w:lang w:eastAsia="hr-HR"/>
        </w:rPr>
        <w:t>integrirano i projektno učenje</w:t>
      </w:r>
    </w:p>
    <w:p w14:paraId="4EE67CBE">
      <w:pPr>
        <w:pStyle w:val="25"/>
        <w:spacing w:after="0" w:line="276" w:lineRule="auto"/>
        <w:jc w:val="both"/>
        <w:rPr>
          <w:rFonts w:eastAsia="Times New Roman" w:cstheme="minorHAnsi"/>
          <w:sz w:val="24"/>
          <w:szCs w:val="24"/>
          <w:lang w:eastAsia="hr-HR"/>
        </w:rPr>
      </w:pPr>
      <w:r>
        <w:rPr>
          <w:rFonts w:eastAsia="Times New Roman" w:cstheme="minorHAnsi"/>
          <w:sz w:val="24"/>
          <w:szCs w:val="24"/>
          <w:lang w:eastAsia="hr-HR"/>
        </w:rPr>
        <w:t>Aktivnosti s djecom u godini prije polaska u školu planiraju se i oblikuju cjelovito kroz poticajne teme i dugoročne projekte koji proizlaze iz stvarnih interesa djece. Izbjegava se rascjepkanost na izolirane predmete ili lekcije.</w:t>
      </w:r>
    </w:p>
    <w:p w14:paraId="7B4C6F45">
      <w:pPr>
        <w:pStyle w:val="25"/>
        <w:numPr>
          <w:ilvl w:val="0"/>
          <w:numId w:val="12"/>
        </w:numPr>
        <w:spacing w:after="0" w:line="276" w:lineRule="auto"/>
        <w:rPr>
          <w:rFonts w:eastAsia="Times New Roman" w:cstheme="minorHAnsi"/>
          <w:sz w:val="24"/>
          <w:szCs w:val="24"/>
          <w:lang w:eastAsia="hr-HR"/>
        </w:rPr>
      </w:pPr>
      <w:r>
        <w:rPr>
          <w:rFonts w:eastAsia="Times New Roman" w:cstheme="minorHAnsi"/>
          <w:bCs/>
          <w:sz w:val="24"/>
          <w:szCs w:val="24"/>
          <w:u w:val="single"/>
          <w:lang w:eastAsia="hr-HR"/>
        </w:rPr>
        <w:t>oblikovanje poticajnog okruženja</w:t>
      </w:r>
      <w:r>
        <w:rPr>
          <w:rFonts w:eastAsia="Times New Roman" w:cstheme="minorHAnsi"/>
          <w:sz w:val="24"/>
          <w:szCs w:val="24"/>
          <w:lang w:eastAsia="hr-HR"/>
        </w:rPr>
        <w:t xml:space="preserve">: </w:t>
      </w:r>
    </w:p>
    <w:p w14:paraId="3E5599A3">
      <w:pPr>
        <w:pStyle w:val="25"/>
        <w:spacing w:after="0" w:line="276" w:lineRule="auto"/>
        <w:rPr>
          <w:rFonts w:eastAsia="Times New Roman" w:cstheme="minorHAnsi"/>
          <w:sz w:val="24"/>
          <w:szCs w:val="24"/>
          <w:lang w:eastAsia="hr-HR"/>
        </w:rPr>
      </w:pPr>
      <w:r>
        <w:rPr>
          <w:rFonts w:eastAsia="Times New Roman" w:cstheme="minorHAnsi"/>
          <w:sz w:val="24"/>
          <w:szCs w:val="24"/>
          <w:lang w:eastAsia="hr-HR"/>
        </w:rPr>
        <w:t>Sustavno se planiraju i strukturiraju prostorno-materijalni uvjeti unutar skupine (centri aktivnosti) koji djeci omogućuju stjecanje bogatih i raznovrsnih iskustava, istraživanje, rješavanje problema i eksperimentiranje.</w:t>
      </w:r>
    </w:p>
    <w:p w14:paraId="74F3C785">
      <w:pPr>
        <w:pStyle w:val="25"/>
        <w:numPr>
          <w:ilvl w:val="0"/>
          <w:numId w:val="12"/>
        </w:numPr>
        <w:spacing w:after="0" w:line="276" w:lineRule="auto"/>
        <w:rPr>
          <w:rFonts w:eastAsia="Times New Roman" w:cstheme="minorHAnsi"/>
          <w:sz w:val="24"/>
          <w:szCs w:val="24"/>
          <w:lang w:eastAsia="hr-HR"/>
        </w:rPr>
      </w:pPr>
      <w:r>
        <w:rPr>
          <w:rFonts w:eastAsia="Times New Roman" w:cstheme="minorHAnsi"/>
          <w:bCs/>
          <w:sz w:val="24"/>
          <w:szCs w:val="24"/>
          <w:u w:val="single"/>
          <w:lang w:eastAsia="hr-HR"/>
        </w:rPr>
        <w:t>individualizacija i fleksibilnost:</w:t>
      </w:r>
    </w:p>
    <w:p w14:paraId="473A3A31">
      <w:pPr>
        <w:pStyle w:val="25"/>
        <w:spacing w:after="0" w:line="276" w:lineRule="auto"/>
        <w:rPr>
          <w:rFonts w:eastAsia="Times New Roman" w:cstheme="minorHAnsi"/>
          <w:sz w:val="24"/>
          <w:szCs w:val="24"/>
          <w:lang w:eastAsia="hr-HR"/>
        </w:rPr>
      </w:pPr>
      <w:r>
        <w:rPr>
          <w:rFonts w:eastAsia="Times New Roman" w:cstheme="minorHAnsi"/>
          <w:sz w:val="24"/>
          <w:szCs w:val="24"/>
          <w:lang w:eastAsia="hr-HR"/>
        </w:rPr>
        <w:t>U središtu planiranja je individualizirani pristup. Odgojno-obrazovni proces je otvoren i fleksibilan, čime se osigurava optimalno zadovoljavanje specifičnih spoznajnih, tjelesnih, socijalnih, emocionalnih i komunikacijskih potreba svakog pojedinog djeteta.</w:t>
      </w:r>
    </w:p>
    <w:p w14:paraId="1FD753D4">
      <w:pPr>
        <w:pStyle w:val="25"/>
        <w:numPr>
          <w:ilvl w:val="0"/>
          <w:numId w:val="12"/>
        </w:numPr>
        <w:spacing w:after="0" w:line="276" w:lineRule="auto"/>
        <w:rPr>
          <w:rFonts w:eastAsia="Times New Roman" w:cstheme="minorHAnsi"/>
          <w:sz w:val="24"/>
          <w:szCs w:val="24"/>
          <w:lang w:eastAsia="hr-HR"/>
        </w:rPr>
      </w:pPr>
      <w:r>
        <w:rPr>
          <w:rFonts w:eastAsia="Times New Roman" w:cstheme="minorHAnsi"/>
          <w:bCs/>
          <w:sz w:val="24"/>
          <w:szCs w:val="24"/>
          <w:u w:val="single"/>
          <w:lang w:eastAsia="hr-HR"/>
        </w:rPr>
        <w:t>razvojno planiranje</w:t>
      </w:r>
      <w:r>
        <w:rPr>
          <w:rFonts w:eastAsia="Times New Roman" w:cstheme="minorHAnsi"/>
          <w:bCs/>
          <w:sz w:val="24"/>
          <w:szCs w:val="24"/>
          <w:lang w:eastAsia="hr-HR"/>
        </w:rPr>
        <w:t>:</w:t>
      </w:r>
      <w:r>
        <w:rPr>
          <w:rFonts w:eastAsia="Times New Roman" w:cstheme="minorHAnsi"/>
          <w:sz w:val="24"/>
          <w:szCs w:val="24"/>
          <w:lang w:eastAsia="hr-HR"/>
        </w:rPr>
        <w:t xml:space="preserve"> </w:t>
      </w:r>
    </w:p>
    <w:p w14:paraId="798E1505">
      <w:pPr>
        <w:pStyle w:val="25"/>
        <w:spacing w:after="0" w:line="276" w:lineRule="auto"/>
        <w:jc w:val="both"/>
        <w:rPr>
          <w:rFonts w:eastAsia="Times New Roman" w:cstheme="minorHAnsi"/>
          <w:sz w:val="24"/>
          <w:szCs w:val="24"/>
          <w:lang w:eastAsia="hr-HR"/>
        </w:rPr>
      </w:pPr>
      <w:r>
        <w:rPr>
          <w:rFonts w:eastAsia="Times New Roman" w:cstheme="minorHAnsi"/>
          <w:sz w:val="24"/>
          <w:szCs w:val="24"/>
          <w:lang w:eastAsia="hr-HR"/>
        </w:rPr>
        <w:t>Zadaće odgojno-obrazovnog rada ne postavljaju se kruto niti unaprijed, već se kontinuirano oblikuju na temelju praćenja razvojnih obilježja dobi, jedinstvenih osobina pojedinog djeteta, njegovih trenutnih interesa i aktualnih razvojnih potreba.</w:t>
      </w:r>
    </w:p>
    <w:p w14:paraId="6D16AAA1">
      <w:pPr>
        <w:pStyle w:val="25"/>
        <w:spacing w:after="0" w:line="276" w:lineRule="auto"/>
        <w:jc w:val="both"/>
        <w:rPr>
          <w:rFonts w:eastAsia="Times New Roman" w:cstheme="minorHAnsi"/>
          <w:sz w:val="24"/>
          <w:szCs w:val="24"/>
          <w:lang w:eastAsia="hr-HR"/>
        </w:rPr>
      </w:pPr>
    </w:p>
    <w:p w14:paraId="5AC95999">
      <w:pPr>
        <w:pStyle w:val="4"/>
        <w:spacing w:line="276" w:lineRule="auto"/>
        <w:rPr>
          <w:rFonts w:asciiTheme="minorHAnsi" w:hAnsiTheme="minorHAnsi" w:cstheme="minorHAnsi"/>
        </w:rPr>
      </w:pPr>
      <w:r>
        <w:rPr>
          <w:rFonts w:asciiTheme="minorHAnsi" w:hAnsiTheme="minorHAnsi" w:cstheme="minorHAnsi"/>
        </w:rPr>
        <w:t>Način praćenja i vrednovanja programa predškole</w:t>
      </w:r>
    </w:p>
    <w:p w14:paraId="797F3B4A">
      <w:pPr>
        <w:spacing w:before="240" w:after="0" w:line="276" w:lineRule="auto"/>
        <w:ind w:firstLine="426"/>
        <w:jc w:val="both"/>
        <w:rPr>
          <w:rFonts w:eastAsia="Times New Roman" w:cstheme="minorHAnsi"/>
          <w:sz w:val="24"/>
          <w:szCs w:val="24"/>
          <w:lang w:eastAsia="hr-HR"/>
        </w:rPr>
      </w:pPr>
      <w:r>
        <w:rPr>
          <w:rFonts w:eastAsia="Times New Roman" w:cstheme="minorHAnsi"/>
          <w:sz w:val="24"/>
          <w:szCs w:val="24"/>
          <w:lang w:eastAsia="hr-HR"/>
        </w:rPr>
        <w:t>Program predškole pratit će se kroz provedbu razvojnih zadaća i plana ustanove, orijentacijski plan i program odgojno-obrazovnog rada, tjedni plan i program, individualni plan i program, dnevnik rada. Prema zapažanjima provoditelja navedenog, izvršit će se evaluacija rada.</w:t>
      </w:r>
    </w:p>
    <w:p w14:paraId="5C8404C6">
      <w:pPr>
        <w:spacing w:after="0" w:line="276" w:lineRule="auto"/>
        <w:jc w:val="both"/>
        <w:rPr>
          <w:rFonts w:eastAsia="Times New Roman" w:cstheme="minorHAnsi"/>
          <w:sz w:val="24"/>
          <w:szCs w:val="24"/>
          <w:lang w:eastAsia="hr-HR"/>
        </w:rPr>
      </w:pPr>
    </w:p>
    <w:p w14:paraId="4FB7FCFD">
      <w:pPr>
        <w:pStyle w:val="3"/>
        <w:rPr>
          <w:rFonts w:asciiTheme="minorHAnsi" w:hAnsiTheme="minorHAnsi" w:cstheme="minorHAnsi"/>
        </w:rPr>
      </w:pPr>
      <w:r>
        <w:rPr>
          <w:rFonts w:asciiTheme="minorHAnsi" w:hAnsiTheme="minorHAnsi" w:cstheme="minorHAnsi"/>
        </w:rPr>
        <w:t xml:space="preserve"> Inkluzivna praksa</w:t>
      </w:r>
    </w:p>
    <w:p w14:paraId="607166AD">
      <w:pPr>
        <w:spacing w:after="0" w:line="276" w:lineRule="auto"/>
        <w:ind w:firstLine="426"/>
        <w:jc w:val="both"/>
        <w:rPr>
          <w:rFonts w:eastAsia="Times New Roman" w:cstheme="minorHAnsi"/>
          <w:sz w:val="24"/>
          <w:szCs w:val="24"/>
          <w:lang w:eastAsia="hr-HR"/>
        </w:rPr>
      </w:pPr>
      <w:r>
        <w:rPr>
          <w:rFonts w:eastAsia="Times New Roman" w:cstheme="minorHAnsi"/>
          <w:sz w:val="24"/>
          <w:szCs w:val="24"/>
          <w:lang w:eastAsia="hr-HR"/>
        </w:rPr>
        <w:t>Uspješno implementirana inkluzivna praksa donosi mjerljive dobrobiti za sve dionike odgojno-obrazovnog procesa:</w:t>
      </w:r>
    </w:p>
    <w:p w14:paraId="2E50647C">
      <w:pPr>
        <w:spacing w:line="276" w:lineRule="auto"/>
        <w:ind w:firstLine="426"/>
        <w:jc w:val="both"/>
        <w:rPr>
          <w:rFonts w:eastAsia="Times New Roman" w:cstheme="minorHAnsi"/>
          <w:sz w:val="24"/>
          <w:szCs w:val="24"/>
          <w:lang w:eastAsia="hr-HR"/>
        </w:rPr>
      </w:pPr>
    </w:p>
    <w:p w14:paraId="797CE2D8">
      <w:pPr>
        <w:pStyle w:val="4"/>
        <w:spacing w:line="276" w:lineRule="auto"/>
        <w:rPr>
          <w:rFonts w:asciiTheme="minorHAnsi" w:hAnsiTheme="minorHAnsi" w:cstheme="minorHAnsi"/>
        </w:rPr>
      </w:pPr>
      <w:r>
        <w:rPr>
          <w:rFonts w:asciiTheme="minorHAnsi" w:hAnsiTheme="minorHAnsi" w:cstheme="minorHAnsi"/>
        </w:rPr>
        <w:t>Koristi za dijete s teškoćama u razvoju</w:t>
      </w:r>
    </w:p>
    <w:p w14:paraId="45BFD9F9">
      <w:pPr>
        <w:spacing w:after="0" w:line="276" w:lineRule="auto"/>
        <w:ind w:firstLine="360"/>
        <w:jc w:val="both"/>
        <w:rPr>
          <w:rFonts w:eastAsia="Times New Roman" w:cstheme="minorHAnsi"/>
          <w:sz w:val="24"/>
          <w:szCs w:val="24"/>
          <w:lang w:eastAsia="hr-HR"/>
        </w:rPr>
      </w:pPr>
      <w:r>
        <w:rPr>
          <w:rFonts w:cstheme="minorHAnsi"/>
          <w:sz w:val="24"/>
          <w:szCs w:val="24"/>
        </w:rPr>
        <w:t>Uključivanje djeteta s teškoćama u razvoju u redovitu odgojno-obrazovnu skupinu omogućuje mu razvoj vlastitih potencijala u prirodnom i poticajnom okruženju te doprinosi njegovoj cjelokupnoj dobrobiti, kvaliteti života i osjećaju pripadnosti zajednici. Takvo okruženje djetetu omogućuje:</w:t>
      </w:r>
    </w:p>
    <w:p w14:paraId="343A8CBD">
      <w:pPr>
        <w:pStyle w:val="25"/>
        <w:numPr>
          <w:ilvl w:val="0"/>
          <w:numId w:val="13"/>
        </w:numPr>
        <w:tabs>
          <w:tab w:val="left" w:pos="0"/>
          <w:tab w:val="left" w:pos="567"/>
        </w:tabs>
        <w:spacing w:after="100" w:afterAutospacing="1" w:line="276" w:lineRule="auto"/>
        <w:ind w:left="567" w:hanging="357"/>
        <w:jc w:val="both"/>
        <w:rPr>
          <w:rFonts w:cstheme="minorHAnsi"/>
          <w:sz w:val="24"/>
          <w:szCs w:val="24"/>
        </w:rPr>
      </w:pPr>
      <w:r>
        <w:rPr>
          <w:rFonts w:cstheme="minorHAnsi"/>
          <w:b/>
          <w:bCs/>
          <w:sz w:val="24"/>
          <w:szCs w:val="24"/>
        </w:rPr>
        <w:t>razvoj socijalnih odnosa</w:t>
      </w:r>
      <w:r>
        <w:rPr>
          <w:rFonts w:cstheme="minorHAnsi"/>
          <w:sz w:val="24"/>
          <w:szCs w:val="24"/>
        </w:rPr>
        <w:t xml:space="preserve"> – svakodnevnim boravkom u skupini dijete ostvaruje kontakte vršnjacima, razvija prijateljstva te usvaja obrasce društveno prihvatljivog ponašanja u prirodnom okruženju.</w:t>
      </w:r>
    </w:p>
    <w:p w14:paraId="1CEA54D5">
      <w:pPr>
        <w:pStyle w:val="25"/>
        <w:numPr>
          <w:ilvl w:val="0"/>
          <w:numId w:val="13"/>
        </w:numPr>
        <w:tabs>
          <w:tab w:val="left" w:pos="0"/>
          <w:tab w:val="left" w:pos="567"/>
        </w:tabs>
        <w:spacing w:after="100" w:afterAutospacing="1" w:line="276" w:lineRule="auto"/>
        <w:ind w:left="567" w:hanging="357"/>
        <w:jc w:val="both"/>
        <w:rPr>
          <w:rFonts w:cstheme="minorHAnsi"/>
          <w:sz w:val="24"/>
          <w:szCs w:val="24"/>
        </w:rPr>
      </w:pPr>
      <w:r>
        <w:rPr>
          <w:rFonts w:cstheme="minorHAnsi"/>
          <w:b/>
          <w:bCs/>
          <w:sz w:val="24"/>
          <w:szCs w:val="24"/>
        </w:rPr>
        <w:t>učenje po modelu</w:t>
      </w:r>
      <w:r>
        <w:rPr>
          <w:rFonts w:cstheme="minorHAnsi"/>
          <w:sz w:val="24"/>
          <w:szCs w:val="24"/>
        </w:rPr>
        <w:t xml:space="preserve"> – promatranjem vršnjaka i sudjelovanjem u zajedničkim aktivnostima dijete usvaja nove vještine, razvija komunikaciju i proširuje vlastita iskustva.</w:t>
      </w:r>
    </w:p>
    <w:p w14:paraId="24BC5CC0">
      <w:pPr>
        <w:pStyle w:val="25"/>
        <w:numPr>
          <w:ilvl w:val="0"/>
          <w:numId w:val="13"/>
        </w:numPr>
        <w:tabs>
          <w:tab w:val="left" w:pos="0"/>
          <w:tab w:val="left" w:pos="567"/>
        </w:tabs>
        <w:spacing w:after="100" w:afterAutospacing="1" w:line="276" w:lineRule="auto"/>
        <w:ind w:left="567" w:hanging="357"/>
        <w:jc w:val="both"/>
        <w:rPr>
          <w:rFonts w:cstheme="minorHAnsi"/>
          <w:sz w:val="24"/>
          <w:szCs w:val="24"/>
        </w:rPr>
      </w:pPr>
      <w:r>
        <w:rPr>
          <w:rFonts w:cstheme="minorHAnsi"/>
          <w:b/>
          <w:bCs/>
          <w:sz w:val="24"/>
          <w:szCs w:val="24"/>
        </w:rPr>
        <w:t>razvoj sposobnosti i potencijala</w:t>
      </w:r>
      <w:r>
        <w:rPr>
          <w:rFonts w:cstheme="minorHAnsi"/>
          <w:sz w:val="24"/>
          <w:szCs w:val="24"/>
        </w:rPr>
        <w:t xml:space="preserve"> – uključivanje u aktivnosti primjerene dobi omogućuje razvoj kompetencija u svim područjima u kojima dijete može aktivno sudjelovati te potiče maksimalno iskorištavanje njegovih razvojnih mogućnosti.</w:t>
      </w:r>
    </w:p>
    <w:p w14:paraId="7CB25380">
      <w:pPr>
        <w:pStyle w:val="25"/>
        <w:numPr>
          <w:ilvl w:val="0"/>
          <w:numId w:val="13"/>
        </w:numPr>
        <w:tabs>
          <w:tab w:val="left" w:pos="0"/>
          <w:tab w:val="left" w:pos="567"/>
        </w:tabs>
        <w:spacing w:after="0" w:line="276" w:lineRule="auto"/>
        <w:ind w:left="567" w:hanging="357"/>
        <w:jc w:val="both"/>
        <w:rPr>
          <w:rFonts w:cstheme="minorHAnsi"/>
          <w:sz w:val="24"/>
          <w:szCs w:val="24"/>
        </w:rPr>
      </w:pPr>
      <w:r>
        <w:rPr>
          <w:rFonts w:cstheme="minorHAnsi"/>
          <w:b/>
          <w:bCs/>
          <w:sz w:val="24"/>
          <w:szCs w:val="24"/>
        </w:rPr>
        <w:t>jačanje samopouzdanja i pozitivne slike o sebi</w:t>
      </w:r>
      <w:r>
        <w:rPr>
          <w:rFonts w:cstheme="minorHAnsi"/>
          <w:sz w:val="24"/>
          <w:szCs w:val="24"/>
        </w:rPr>
        <w:t xml:space="preserve"> – osjećaj prihvaćenosti, uspješnosti i pripadnosti skupini doprinosi razvoju samopoštovanja, samostalnosti i osobnog identiteta.</w:t>
      </w:r>
    </w:p>
    <w:p w14:paraId="48EA3961">
      <w:pPr>
        <w:pStyle w:val="25"/>
        <w:tabs>
          <w:tab w:val="left" w:pos="0"/>
          <w:tab w:val="left" w:pos="567"/>
        </w:tabs>
        <w:spacing w:after="100" w:afterAutospacing="1" w:line="276" w:lineRule="auto"/>
        <w:ind w:left="567"/>
        <w:jc w:val="both"/>
        <w:rPr>
          <w:rFonts w:cstheme="minorHAnsi"/>
          <w:sz w:val="24"/>
          <w:szCs w:val="24"/>
        </w:rPr>
      </w:pPr>
    </w:p>
    <w:p w14:paraId="76C255C6">
      <w:pPr>
        <w:pStyle w:val="4"/>
        <w:spacing w:line="276" w:lineRule="auto"/>
        <w:rPr>
          <w:rFonts w:asciiTheme="minorHAnsi" w:hAnsiTheme="minorHAnsi" w:cstheme="minorHAnsi"/>
        </w:rPr>
      </w:pPr>
      <w:r>
        <w:rPr>
          <w:rFonts w:asciiTheme="minorHAnsi" w:hAnsiTheme="minorHAnsi" w:cstheme="minorHAnsi"/>
        </w:rPr>
        <w:t>Koristi za vršnjake u odgojnoj skupini</w:t>
      </w:r>
    </w:p>
    <w:p w14:paraId="509A73BD">
      <w:pPr>
        <w:spacing w:after="0" w:line="276" w:lineRule="auto"/>
        <w:ind w:firstLine="426"/>
        <w:jc w:val="both"/>
        <w:rPr>
          <w:rFonts w:eastAsia="Times New Roman" w:cstheme="minorHAnsi"/>
          <w:sz w:val="24"/>
          <w:szCs w:val="24"/>
          <w:lang w:eastAsia="hr-HR"/>
        </w:rPr>
      </w:pPr>
      <w:r>
        <w:rPr>
          <w:rFonts w:cstheme="minorHAnsi"/>
          <w:sz w:val="24"/>
          <w:szCs w:val="24"/>
        </w:rPr>
        <w:t>Inkluzivno okruženje pozitivno utječe i na ostalu djecu u skupini jer im pruža svakodnevne prilike za razvoj socijalnih, emocionalnih i komunikacijskih kompetencija kroz zajedničku igru, suradnju i međusobno uvažavanje. Boravak u inkluzivnoj skupini doprinosi:</w:t>
      </w:r>
    </w:p>
    <w:p w14:paraId="64554A88">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 xml:space="preserve">prihvaćanju različitosti – </w:t>
      </w:r>
      <w:r>
        <w:rPr>
          <w:rFonts w:cstheme="minorHAnsi"/>
          <w:sz w:val="24"/>
          <w:szCs w:val="24"/>
        </w:rPr>
        <w:t>djeca kroz svakodnevne zajedničke aktivnosti razvijaju razumijevanje da su individualne razlike prirodan dio života.</w:t>
      </w:r>
    </w:p>
    <w:p w14:paraId="322B787A">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razvoju prosocijalnog ponašanja</w:t>
      </w:r>
      <w:r>
        <w:rPr>
          <w:rFonts w:cstheme="minorHAnsi"/>
          <w:sz w:val="24"/>
          <w:szCs w:val="24"/>
        </w:rPr>
        <w:t xml:space="preserve"> – potiču se suradnja, pomaganje, uvažavanje i međusobna podrška među djecom.</w:t>
      </w:r>
    </w:p>
    <w:p w14:paraId="72D2EEC3">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unaprjeđenju socijalnih i komunikacijskih vještina</w:t>
      </w:r>
      <w:r>
        <w:rPr>
          <w:rFonts w:cstheme="minorHAnsi"/>
          <w:sz w:val="24"/>
          <w:szCs w:val="24"/>
        </w:rPr>
        <w:t xml:space="preserve"> – djeca uče prilagođavati komunikaciju i način suradnje različitim potrebama svojih vršnjaka.</w:t>
      </w:r>
    </w:p>
    <w:p w14:paraId="50F8CFD0">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razvoju empatije i tolerancije</w:t>
      </w:r>
      <w:r>
        <w:rPr>
          <w:rFonts w:cstheme="minorHAnsi"/>
          <w:sz w:val="24"/>
          <w:szCs w:val="24"/>
        </w:rPr>
        <w:t xml:space="preserve"> – zajedničkim odrastanjem razvijaju osjećaj odgovornosti, poštovanja, uvažavanja i razumijevanja prema drugima.</w:t>
      </w:r>
    </w:p>
    <w:p w14:paraId="451F5C62">
      <w:pPr>
        <w:pStyle w:val="25"/>
        <w:tabs>
          <w:tab w:val="left" w:pos="0"/>
          <w:tab w:val="left" w:pos="567"/>
        </w:tabs>
        <w:spacing w:after="100" w:afterAutospacing="1" w:line="276" w:lineRule="auto"/>
        <w:ind w:left="567"/>
        <w:jc w:val="both"/>
        <w:rPr>
          <w:rFonts w:cstheme="minorHAnsi"/>
          <w:b/>
          <w:bCs/>
          <w:sz w:val="24"/>
          <w:szCs w:val="24"/>
        </w:rPr>
      </w:pPr>
    </w:p>
    <w:p w14:paraId="74494FA0">
      <w:pPr>
        <w:pStyle w:val="4"/>
        <w:spacing w:line="276" w:lineRule="auto"/>
        <w:rPr>
          <w:rFonts w:asciiTheme="minorHAnsi" w:hAnsiTheme="minorHAnsi" w:cstheme="minorHAnsi"/>
        </w:rPr>
      </w:pPr>
      <w:r>
        <w:rPr>
          <w:rFonts w:asciiTheme="minorHAnsi" w:hAnsiTheme="minorHAnsi" w:cstheme="minorHAnsi"/>
        </w:rPr>
        <w:t>Koristi za roditelje djeteta s teškoćama u razvoju</w:t>
      </w:r>
    </w:p>
    <w:p w14:paraId="4BC86542">
      <w:pPr>
        <w:spacing w:after="0" w:line="276" w:lineRule="auto"/>
        <w:ind w:firstLine="426"/>
        <w:jc w:val="both"/>
        <w:rPr>
          <w:rFonts w:eastAsia="Times New Roman" w:cstheme="minorHAnsi"/>
          <w:sz w:val="24"/>
          <w:szCs w:val="24"/>
          <w:lang w:eastAsia="hr-HR"/>
        </w:rPr>
      </w:pPr>
      <w:r>
        <w:rPr>
          <w:rFonts w:cstheme="minorHAnsi"/>
          <w:sz w:val="24"/>
          <w:szCs w:val="24"/>
        </w:rPr>
        <w:t>Suradnja vrtića i obitelji te uključivanje djeteta u redoviti odgojno-obrazovni program roditeljima pružaju osjećaj sigurnosti, povjerenja i podrške te ih osnažuju u praćenju djetetova razvoja. Takav oblik suradnje doprinosi:</w:t>
      </w:r>
    </w:p>
    <w:p w14:paraId="478531CF">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 xml:space="preserve">osjećaju prihvaćenosti i uključenosti – </w:t>
      </w:r>
      <w:r>
        <w:rPr>
          <w:rFonts w:cstheme="minorHAnsi"/>
          <w:sz w:val="24"/>
          <w:szCs w:val="24"/>
        </w:rPr>
        <w:t>roditelji imaju sigurnost da je njihovo dijete prihvaćeno, uvaženo i ravnopravno uključeno u odgojno-obrazovni proces.</w:t>
      </w:r>
    </w:p>
    <w:p w14:paraId="63FC4489">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jednakim mogućnostima za razvoj</w:t>
      </w:r>
      <w:r>
        <w:rPr>
          <w:rFonts w:cstheme="minorHAnsi"/>
          <w:sz w:val="24"/>
          <w:szCs w:val="24"/>
        </w:rPr>
        <w:t xml:space="preserve"> – roditelji znaju da su djetetu osigurani uvjeti koji omogućuju razvoj njegovih sposobnosti i potencijala u skladu s individualnim potrebama.</w:t>
      </w:r>
    </w:p>
    <w:p w14:paraId="62ED1D5B">
      <w:pPr>
        <w:pStyle w:val="25"/>
        <w:numPr>
          <w:ilvl w:val="0"/>
          <w:numId w:val="13"/>
        </w:numPr>
        <w:tabs>
          <w:tab w:val="left" w:pos="0"/>
          <w:tab w:val="left" w:pos="567"/>
        </w:tabs>
        <w:spacing w:after="0" w:line="276" w:lineRule="auto"/>
        <w:ind w:left="567" w:hanging="357"/>
        <w:jc w:val="both"/>
        <w:rPr>
          <w:rFonts w:cstheme="minorHAnsi"/>
          <w:b/>
          <w:bCs/>
          <w:sz w:val="24"/>
          <w:szCs w:val="24"/>
        </w:rPr>
      </w:pPr>
      <w:r>
        <w:rPr>
          <w:rFonts w:cstheme="minorHAnsi"/>
          <w:b/>
          <w:bCs/>
          <w:sz w:val="24"/>
          <w:szCs w:val="24"/>
        </w:rPr>
        <w:t>povjerenju u stručnu podršku</w:t>
      </w:r>
      <w:r>
        <w:rPr>
          <w:rFonts w:cstheme="minorHAnsi"/>
          <w:sz w:val="24"/>
          <w:szCs w:val="24"/>
        </w:rPr>
        <w:t xml:space="preserve"> – suradnja s odgojiteljima i stručnim suradnicima pruža roditeljima osjećaj sigurnosti da dijete prima primjerenu i kontinuiranu podršku tijekom boravka u vrtiću.</w:t>
      </w:r>
    </w:p>
    <w:p w14:paraId="1D94E3FB">
      <w:pPr>
        <w:pStyle w:val="25"/>
        <w:tabs>
          <w:tab w:val="left" w:pos="0"/>
          <w:tab w:val="left" w:pos="567"/>
        </w:tabs>
        <w:spacing w:after="0" w:line="276" w:lineRule="auto"/>
        <w:ind w:left="567"/>
        <w:jc w:val="both"/>
        <w:rPr>
          <w:rFonts w:cstheme="minorHAnsi"/>
          <w:b/>
          <w:bCs/>
          <w:sz w:val="24"/>
          <w:szCs w:val="24"/>
        </w:rPr>
      </w:pPr>
    </w:p>
    <w:p w14:paraId="74F1982C">
      <w:pPr>
        <w:pStyle w:val="4"/>
        <w:spacing w:line="276" w:lineRule="auto"/>
        <w:rPr>
          <w:rFonts w:asciiTheme="minorHAnsi" w:hAnsiTheme="minorHAnsi" w:cstheme="minorHAnsi"/>
        </w:rPr>
      </w:pPr>
      <w:r>
        <w:rPr>
          <w:rFonts w:asciiTheme="minorHAnsi" w:hAnsiTheme="minorHAnsi" w:cstheme="minorHAnsi"/>
        </w:rPr>
        <w:t>Koristi za roditelje vršnjaka u skupini</w:t>
      </w:r>
    </w:p>
    <w:p w14:paraId="14A1D01A">
      <w:pPr>
        <w:spacing w:after="0" w:line="276" w:lineRule="auto"/>
        <w:ind w:firstLine="426"/>
        <w:jc w:val="both"/>
        <w:rPr>
          <w:rFonts w:eastAsia="Times New Roman" w:cstheme="minorHAnsi"/>
          <w:sz w:val="24"/>
          <w:szCs w:val="24"/>
          <w:lang w:eastAsia="hr-HR"/>
        </w:rPr>
      </w:pPr>
      <w:r>
        <w:rPr>
          <w:rFonts w:cstheme="minorHAnsi"/>
          <w:sz w:val="24"/>
          <w:szCs w:val="24"/>
        </w:rPr>
        <w:t>Inkluzivni odgojno-obrazovni proces pozitivno djeluje i na roditelje ostale djece jer doprinosi boljem razumijevanju različitih razvojnih potreba djece te potiče izgradnju zajedništva i partnerskih odnosa unutar vrtićke zajednice. Roditelji pritom razvijaju:</w:t>
      </w:r>
    </w:p>
    <w:p w14:paraId="4E50EE13">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 xml:space="preserve">razumijevanje individualnih razlika </w:t>
      </w:r>
      <w:r>
        <w:rPr>
          <w:rFonts w:cstheme="minorHAnsi"/>
          <w:sz w:val="24"/>
          <w:szCs w:val="24"/>
        </w:rPr>
        <w:t>– veću osviještenost o različitim razvojnim potrebama djece te važnosti inkluzivnog odgoja i obrazovanja.</w:t>
      </w:r>
    </w:p>
    <w:p w14:paraId="33F6C77C">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vrijednosti inkluzije</w:t>
      </w:r>
      <w:r>
        <w:rPr>
          <w:rFonts w:cstheme="minorHAnsi"/>
          <w:sz w:val="24"/>
          <w:szCs w:val="24"/>
        </w:rPr>
        <w:t xml:space="preserve"> – stavove koji promiču toleranciju, uvažavanje različitosti i međusobno poštovanje.</w:t>
      </w:r>
    </w:p>
    <w:p w14:paraId="6CFE4A79">
      <w:pPr>
        <w:pStyle w:val="25"/>
        <w:numPr>
          <w:ilvl w:val="0"/>
          <w:numId w:val="13"/>
        </w:numPr>
        <w:tabs>
          <w:tab w:val="left" w:pos="0"/>
          <w:tab w:val="left" w:pos="567"/>
        </w:tabs>
        <w:spacing w:after="100" w:afterAutospacing="1" w:line="276" w:lineRule="auto"/>
        <w:ind w:left="567" w:hanging="357"/>
        <w:jc w:val="both"/>
        <w:rPr>
          <w:rFonts w:cstheme="minorHAnsi"/>
          <w:b/>
          <w:bCs/>
          <w:sz w:val="24"/>
          <w:szCs w:val="24"/>
        </w:rPr>
      </w:pPr>
      <w:r>
        <w:rPr>
          <w:rFonts w:cstheme="minorHAnsi"/>
          <w:b/>
          <w:bCs/>
          <w:sz w:val="24"/>
          <w:szCs w:val="24"/>
        </w:rPr>
        <w:t>međusobnu suradnju i podršku</w:t>
      </w:r>
      <w:r>
        <w:rPr>
          <w:rFonts w:cstheme="minorHAnsi"/>
          <w:sz w:val="24"/>
          <w:szCs w:val="24"/>
        </w:rPr>
        <w:t xml:space="preserve"> – otvorenu komunikaciju, razmjenu iskustava te razvijanje partnerskih odnosa i uzajamne pomoći među obiteljima unutar vrtićke zajednice.</w:t>
      </w:r>
    </w:p>
    <w:p w14:paraId="066E93A2">
      <w:pPr>
        <w:pStyle w:val="25"/>
        <w:tabs>
          <w:tab w:val="left" w:pos="0"/>
          <w:tab w:val="left" w:pos="567"/>
        </w:tabs>
        <w:spacing w:after="0" w:line="276" w:lineRule="auto"/>
        <w:ind w:left="567"/>
        <w:jc w:val="both"/>
        <w:rPr>
          <w:rFonts w:cstheme="minorHAnsi"/>
          <w:b/>
          <w:bCs/>
          <w:sz w:val="24"/>
          <w:szCs w:val="24"/>
        </w:rPr>
      </w:pPr>
    </w:p>
    <w:p w14:paraId="727BEC1B">
      <w:pPr>
        <w:pStyle w:val="4"/>
        <w:spacing w:line="276" w:lineRule="auto"/>
        <w:rPr>
          <w:rFonts w:asciiTheme="minorHAnsi" w:hAnsiTheme="minorHAnsi" w:cstheme="minorHAnsi"/>
        </w:rPr>
      </w:pPr>
      <w:r>
        <w:rPr>
          <w:rFonts w:asciiTheme="minorHAnsi" w:hAnsiTheme="minorHAnsi" w:cstheme="minorHAnsi"/>
        </w:rPr>
        <w:t>Uloga odgojitelja i ustanove u podršci inkluziji</w:t>
      </w:r>
    </w:p>
    <w:p w14:paraId="171DB43C">
      <w:pPr>
        <w:spacing w:line="276" w:lineRule="auto"/>
        <w:ind w:firstLine="426"/>
        <w:jc w:val="both"/>
        <w:rPr>
          <w:rFonts w:eastAsia="Times New Roman" w:cstheme="minorHAnsi"/>
          <w:sz w:val="24"/>
          <w:szCs w:val="24"/>
          <w:lang w:eastAsia="hr-HR"/>
        </w:rPr>
      </w:pPr>
      <w:r>
        <w:rPr>
          <w:rFonts w:eastAsia="Times New Roman" w:cstheme="minorHAnsi"/>
          <w:sz w:val="24"/>
          <w:szCs w:val="24"/>
          <w:lang w:eastAsia="hr-HR"/>
        </w:rPr>
        <w:t>Uspješno provođenje inkluzije zahtijeva visoku razinu profesionalnosti i stvaranje optimalnih uvjeta za rad koji uključuju kontinuirani profesionalni razvoj, motivaciju za inkluzivni rad, holističku podršku djetetu, stvaranje poticajnog i sigurnog okruženja te pružanje djetetu mogućnosti samostalnog odabira.</w:t>
      </w:r>
    </w:p>
    <w:p w14:paraId="0EAE56C0">
      <w:pPr>
        <w:spacing w:line="276" w:lineRule="auto"/>
        <w:ind w:firstLine="426"/>
        <w:jc w:val="both"/>
        <w:rPr>
          <w:rFonts w:eastAsia="Times New Roman" w:cstheme="minorHAnsi"/>
          <w:sz w:val="24"/>
          <w:szCs w:val="24"/>
          <w:lang w:eastAsia="hr-HR"/>
        </w:rPr>
      </w:pPr>
    </w:p>
    <w:p w14:paraId="08A4106D">
      <w:pPr>
        <w:spacing w:line="276" w:lineRule="auto"/>
        <w:ind w:firstLine="426"/>
        <w:jc w:val="both"/>
        <w:rPr>
          <w:rFonts w:eastAsia="Times New Roman" w:cstheme="minorHAnsi"/>
          <w:sz w:val="24"/>
          <w:szCs w:val="24"/>
          <w:lang w:eastAsia="hr-HR"/>
        </w:rPr>
      </w:pPr>
    </w:p>
    <w:p w14:paraId="69980EFA">
      <w:pPr>
        <w:pStyle w:val="4"/>
        <w:spacing w:line="276" w:lineRule="auto"/>
        <w:rPr>
          <w:rFonts w:asciiTheme="minorHAnsi" w:hAnsiTheme="minorHAnsi" w:cstheme="minorHAnsi"/>
        </w:rPr>
      </w:pPr>
      <w:r>
        <w:rPr>
          <w:rFonts w:asciiTheme="minorHAnsi" w:hAnsiTheme="minorHAnsi" w:cstheme="minorHAnsi"/>
        </w:rPr>
        <w:t>Način vrednovanja inkluzivne prakse</w:t>
      </w:r>
    </w:p>
    <w:p w14:paraId="14113006">
      <w:pPr>
        <w:spacing w:line="276" w:lineRule="auto"/>
        <w:ind w:firstLine="426"/>
        <w:jc w:val="both"/>
        <w:rPr>
          <w:rFonts w:eastAsia="Times New Roman" w:cstheme="minorHAnsi"/>
          <w:sz w:val="24"/>
          <w:szCs w:val="24"/>
          <w:lang w:eastAsia="hr-HR"/>
        </w:rPr>
      </w:pPr>
      <w:r>
        <w:rPr>
          <w:rFonts w:eastAsia="Times New Roman" w:cstheme="minorHAnsi"/>
          <w:sz w:val="24"/>
          <w:szCs w:val="24"/>
          <w:lang w:eastAsia="hr-HR"/>
        </w:rPr>
        <w:t>Evaluacija kvalitete i uspješnosti inkluzivnog procesa provodi se sustavno na kraju svake pedagoške godine kroz kontinuirani uvid u provedbu bitnih zadaća te godišnjeg plana i programa rada ustanove te kroz evaluacijske instrumente kao što je primjena namjenskih upitnika za odgojitelje i roditelje.</w:t>
      </w:r>
    </w:p>
    <w:p w14:paraId="1C22649F">
      <w:pPr>
        <w:spacing w:line="276" w:lineRule="auto"/>
        <w:ind w:firstLine="426"/>
        <w:jc w:val="both"/>
        <w:rPr>
          <w:rFonts w:eastAsia="Times New Roman" w:cstheme="minorHAnsi"/>
          <w:sz w:val="24"/>
          <w:szCs w:val="24"/>
          <w:lang w:eastAsia="hr-HR"/>
        </w:rPr>
      </w:pPr>
    </w:p>
    <w:p w14:paraId="35062BDA">
      <w:pPr>
        <w:pStyle w:val="2"/>
        <w:spacing w:before="0" w:after="0" w:line="276" w:lineRule="auto"/>
        <w:rPr>
          <w:rFonts w:asciiTheme="minorHAnsi" w:hAnsiTheme="minorHAnsi" w:cstheme="minorHAnsi"/>
        </w:rPr>
      </w:pPr>
      <w:r>
        <w:rPr>
          <w:rFonts w:asciiTheme="minorHAnsi" w:hAnsiTheme="minorHAnsi" w:cstheme="minorHAnsi"/>
        </w:rPr>
        <w:t>BITNI ZADACI ODGOJNO-OBRAZOVNOG RADA NA RAZINI USTANOVE</w:t>
      </w:r>
    </w:p>
    <w:p w14:paraId="54E1BFE0">
      <w:pPr>
        <w:spacing w:line="276" w:lineRule="auto"/>
        <w:rPr>
          <w:rFonts w:cstheme="minorHAnsi"/>
        </w:rPr>
      </w:pPr>
    </w:p>
    <w:p w14:paraId="618E841F">
      <w:pPr>
        <w:pStyle w:val="3"/>
        <w:spacing w:before="240"/>
        <w:rPr>
          <w:rFonts w:asciiTheme="minorHAnsi" w:hAnsiTheme="minorHAnsi" w:cstheme="minorHAnsi"/>
        </w:rPr>
      </w:pPr>
      <w:r>
        <w:rPr>
          <w:rFonts w:asciiTheme="minorHAnsi" w:hAnsiTheme="minorHAnsi" w:cstheme="minorHAnsi"/>
        </w:rPr>
        <w:t>Razvoj poticajnog okruženja za učenje i cjelovit razvoj djece</w:t>
      </w:r>
    </w:p>
    <w:p w14:paraId="053EC292">
      <w:pPr>
        <w:spacing w:after="0" w:line="276" w:lineRule="auto"/>
        <w:ind w:firstLine="578"/>
        <w:jc w:val="both"/>
        <w:rPr>
          <w:rFonts w:cstheme="minorHAnsi"/>
        </w:rPr>
      </w:pPr>
      <w:r>
        <w:rPr>
          <w:rFonts w:cstheme="minorHAnsi"/>
          <w:sz w:val="24"/>
          <w:szCs w:val="24"/>
        </w:rPr>
        <w:t>Poticajno, sigurno i kvalitetno odgojno-obrazovno okruženje temelj je dječjeg učenja, razvoja i dobrobiti. Planiranim oblikovanjem prostora, aktivnosti i međusobnih odnosa djeci se omogućuje stjecanje novih iskustava, razvoj kompetencija te ostvarivanje njihovih individualnih potencijala</w:t>
      </w:r>
      <w:r>
        <w:rPr>
          <w:rFonts w:cstheme="minorHAnsi"/>
        </w:rPr>
        <w:t>.</w:t>
      </w:r>
    </w:p>
    <w:p w14:paraId="34C58EB0">
      <w:pPr>
        <w:spacing w:after="0" w:line="276" w:lineRule="auto"/>
        <w:ind w:firstLine="578"/>
        <w:jc w:val="both"/>
        <w:rPr>
          <w:rFonts w:cstheme="minorHAnsi"/>
          <w:lang w:eastAsia="hr-HR"/>
        </w:rPr>
      </w:pPr>
    </w:p>
    <w:p w14:paraId="72D0E8BF">
      <w:pPr>
        <w:pStyle w:val="4"/>
        <w:spacing w:line="276" w:lineRule="auto"/>
        <w:rPr>
          <w:rFonts w:asciiTheme="minorHAnsi" w:hAnsiTheme="minorHAnsi" w:cstheme="minorHAnsi"/>
        </w:rPr>
      </w:pPr>
      <w:r>
        <w:rPr>
          <w:rFonts w:asciiTheme="minorHAnsi" w:hAnsiTheme="minorHAnsi" w:cstheme="minorHAnsi"/>
        </w:rPr>
        <w:t>Ciljevi</w:t>
      </w:r>
    </w:p>
    <w:p w14:paraId="537DECFC">
      <w:pPr>
        <w:pStyle w:val="25"/>
        <w:numPr>
          <w:ilvl w:val="0"/>
          <w:numId w:val="14"/>
        </w:numPr>
        <w:tabs>
          <w:tab w:val="left" w:pos="862"/>
        </w:tabs>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oblikovati odgojno-obrazovno okruženje u skladu s interesima, potrebama i razvojnim mogućnostima djece,</w:t>
      </w:r>
    </w:p>
    <w:p w14:paraId="20F9544B">
      <w:pPr>
        <w:pStyle w:val="25"/>
        <w:numPr>
          <w:ilvl w:val="0"/>
          <w:numId w:val="14"/>
        </w:numPr>
        <w:tabs>
          <w:tab w:val="left" w:pos="862"/>
        </w:tabs>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kontinuirano obogaćivati prostore za igru i učenje raznovrsnim prirodnim, istraživačkim i didaktičkim materijalima koji potiču samostalnost, kreativnost i istraživanje,</w:t>
      </w:r>
    </w:p>
    <w:p w14:paraId="1823856F">
      <w:pPr>
        <w:pStyle w:val="25"/>
        <w:numPr>
          <w:ilvl w:val="0"/>
          <w:numId w:val="14"/>
        </w:numPr>
        <w:tabs>
          <w:tab w:val="left" w:pos="862"/>
        </w:tabs>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organizirati dnevni ritam fleksibilno, uvažavajući individualne potrebe djece tijekom odmora, prehrane, igre i boravka na otvorenom,</w:t>
      </w:r>
    </w:p>
    <w:p w14:paraId="25C2B20B">
      <w:pPr>
        <w:pStyle w:val="25"/>
        <w:numPr>
          <w:ilvl w:val="0"/>
          <w:numId w:val="14"/>
        </w:numPr>
        <w:tabs>
          <w:tab w:val="left" w:pos="862"/>
        </w:tabs>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poticati otvorenu komunikaciju, međusobno uvažavanje i suradnju među svim sudionicima odgojno-obrazovnog procesa,</w:t>
      </w:r>
    </w:p>
    <w:p w14:paraId="393504BF">
      <w:pPr>
        <w:pStyle w:val="25"/>
        <w:numPr>
          <w:ilvl w:val="0"/>
          <w:numId w:val="14"/>
        </w:numPr>
        <w:tabs>
          <w:tab w:val="left" w:pos="862"/>
        </w:tabs>
        <w:spacing w:before="100" w:beforeAutospacing="1" w:after="0" w:line="276" w:lineRule="auto"/>
        <w:jc w:val="both"/>
        <w:rPr>
          <w:rFonts w:eastAsia="Times New Roman" w:cstheme="minorHAnsi"/>
          <w:sz w:val="24"/>
          <w:szCs w:val="24"/>
          <w:lang w:eastAsia="hr-HR"/>
        </w:rPr>
      </w:pPr>
      <w:r>
        <w:rPr>
          <w:rFonts w:eastAsia="Times New Roman" w:cstheme="minorHAnsi"/>
          <w:sz w:val="24"/>
          <w:szCs w:val="24"/>
          <w:lang w:eastAsia="hr-HR"/>
        </w:rPr>
        <w:t>omogućiti kontinuirano stručno usavršavanje djelatnika radi razvoja suvremenih odgojno-obrazovnih kompetencija.</w:t>
      </w:r>
    </w:p>
    <w:p w14:paraId="424DACFA">
      <w:pPr>
        <w:pStyle w:val="25"/>
        <w:tabs>
          <w:tab w:val="left" w:pos="720"/>
          <w:tab w:val="left" w:pos="862"/>
        </w:tabs>
        <w:spacing w:after="0" w:line="276" w:lineRule="auto"/>
        <w:jc w:val="both"/>
        <w:rPr>
          <w:rFonts w:eastAsia="Times New Roman" w:cstheme="minorHAnsi"/>
          <w:sz w:val="24"/>
          <w:szCs w:val="24"/>
          <w:lang w:eastAsia="hr-HR"/>
        </w:rPr>
      </w:pPr>
    </w:p>
    <w:p w14:paraId="4203E86E">
      <w:pPr>
        <w:pStyle w:val="4"/>
        <w:spacing w:line="276" w:lineRule="auto"/>
        <w:rPr>
          <w:rFonts w:asciiTheme="minorHAnsi" w:hAnsiTheme="minorHAnsi" w:cstheme="minorHAnsi"/>
        </w:rPr>
      </w:pPr>
      <w:r>
        <w:rPr>
          <w:rFonts w:asciiTheme="minorHAnsi" w:hAnsiTheme="minorHAnsi" w:cstheme="minorHAnsi"/>
        </w:rPr>
        <w:t>Očekivani ishodi</w:t>
      </w:r>
    </w:p>
    <w:p w14:paraId="2AF8A405">
      <w:pPr>
        <w:numPr>
          <w:ilvl w:val="0"/>
          <w:numId w:val="15"/>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stvoreno kvalitetno, sigurno i poticajno okruženje koje podržava dječji razvoj i učenje.</w:t>
      </w:r>
    </w:p>
    <w:p w14:paraId="1FB9286A">
      <w:pPr>
        <w:numPr>
          <w:ilvl w:val="0"/>
          <w:numId w:val="15"/>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razvijena kultura suradnje, međusobnog poštovanja i otvorene komunikacije.</w:t>
      </w:r>
    </w:p>
    <w:p w14:paraId="1D5020C2">
      <w:pPr>
        <w:numPr>
          <w:ilvl w:val="0"/>
          <w:numId w:val="15"/>
        </w:numPr>
        <w:spacing w:before="100" w:beforeAutospacing="1" w:after="0" w:line="276" w:lineRule="auto"/>
        <w:jc w:val="both"/>
        <w:rPr>
          <w:rFonts w:eastAsia="Times New Roman" w:cstheme="minorHAnsi"/>
          <w:sz w:val="24"/>
          <w:szCs w:val="24"/>
          <w:lang w:eastAsia="hr-HR"/>
        </w:rPr>
      </w:pPr>
      <w:r>
        <w:rPr>
          <w:rFonts w:eastAsia="Times New Roman" w:cstheme="minorHAnsi"/>
          <w:sz w:val="24"/>
          <w:szCs w:val="24"/>
          <w:lang w:eastAsia="hr-HR"/>
        </w:rPr>
        <w:t>ustanova djeluje kao suvremena zajednica učenja u kojoj se djeca, roditelji i djelatnici osjećaju prihvaćeno i zadovoljno.</w:t>
      </w:r>
    </w:p>
    <w:p w14:paraId="4C783B8E">
      <w:pPr>
        <w:spacing w:after="0" w:line="276" w:lineRule="auto"/>
        <w:ind w:left="720"/>
        <w:jc w:val="both"/>
        <w:rPr>
          <w:rFonts w:eastAsia="Times New Roman" w:cstheme="minorHAnsi"/>
          <w:sz w:val="24"/>
          <w:szCs w:val="24"/>
          <w:lang w:eastAsia="hr-HR"/>
        </w:rPr>
      </w:pPr>
    </w:p>
    <w:p w14:paraId="750685DB">
      <w:pPr>
        <w:pStyle w:val="3"/>
        <w:spacing w:after="240"/>
        <w:rPr>
          <w:rFonts w:asciiTheme="minorHAnsi" w:hAnsiTheme="minorHAnsi" w:cstheme="minorHAnsi"/>
        </w:rPr>
      </w:pPr>
      <w:r>
        <w:rPr>
          <w:rFonts w:asciiTheme="minorHAnsi" w:hAnsiTheme="minorHAnsi" w:cstheme="minorHAnsi"/>
        </w:rPr>
        <w:t>Unaprjeđenje stručnih kompetencija odgojitelja u planiranju i vrednovanju rada</w:t>
      </w:r>
    </w:p>
    <w:p w14:paraId="527527F4">
      <w:pPr>
        <w:spacing w:line="276" w:lineRule="auto"/>
        <w:ind w:firstLine="426"/>
        <w:jc w:val="both"/>
        <w:rPr>
          <w:rFonts w:cstheme="minorHAnsi"/>
          <w:b/>
          <w:sz w:val="24"/>
          <w:szCs w:val="24"/>
        </w:rPr>
      </w:pPr>
      <w:r>
        <w:rPr>
          <w:rFonts w:cstheme="minorHAnsi"/>
          <w:sz w:val="24"/>
          <w:szCs w:val="24"/>
        </w:rPr>
        <w:t>Kontinuirano stručno usavršavanje odgojitelja preduvjet je kvalitetnog planiranja, provedbe i vrednovanja odgojno-obrazovnog procesa. Razvojem profesionalnih kompetencija osigurava se primjena suvremenih pedagoških pristupa i stalno unaprjeđenje kvalitete rada s djecom.</w:t>
      </w:r>
    </w:p>
    <w:p w14:paraId="56AC3B31">
      <w:pPr>
        <w:spacing w:line="276" w:lineRule="auto"/>
        <w:rPr>
          <w:rFonts w:cstheme="minorHAnsi"/>
        </w:rPr>
      </w:pPr>
    </w:p>
    <w:p w14:paraId="164A2623">
      <w:pPr>
        <w:pStyle w:val="4"/>
        <w:spacing w:line="276" w:lineRule="auto"/>
        <w:jc w:val="both"/>
        <w:rPr>
          <w:rFonts w:asciiTheme="minorHAnsi" w:hAnsiTheme="minorHAnsi" w:cstheme="minorHAnsi"/>
        </w:rPr>
      </w:pPr>
      <w:r>
        <w:rPr>
          <w:rFonts w:asciiTheme="minorHAnsi" w:hAnsiTheme="minorHAnsi" w:cstheme="minorHAnsi"/>
        </w:rPr>
        <w:t>Ciljevi</w:t>
      </w:r>
    </w:p>
    <w:p w14:paraId="35A5BEB1">
      <w:pPr>
        <w:numPr>
          <w:ilvl w:val="0"/>
          <w:numId w:val="16"/>
        </w:numPr>
        <w:spacing w:before="100" w:beforeAutospacing="1" w:after="100" w:afterAutospacing="1" w:line="276" w:lineRule="auto"/>
        <w:ind w:left="720"/>
        <w:jc w:val="both"/>
        <w:rPr>
          <w:rFonts w:eastAsia="Times New Roman" w:cstheme="minorHAnsi"/>
          <w:sz w:val="24"/>
          <w:szCs w:val="24"/>
          <w:lang w:eastAsia="hr-HR"/>
        </w:rPr>
      </w:pPr>
      <w:r>
        <w:rPr>
          <w:rFonts w:eastAsia="Times New Roman" w:cstheme="minorHAnsi"/>
          <w:sz w:val="24"/>
          <w:szCs w:val="24"/>
          <w:lang w:eastAsia="hr-HR"/>
        </w:rPr>
        <w:t>unaprijediti kompetencije odgojitelja za kvalitetno planiranje, provedbu i vrednovanje odgojno-obrazovnog procesa,</w:t>
      </w:r>
    </w:p>
    <w:p w14:paraId="32916C0F">
      <w:pPr>
        <w:numPr>
          <w:ilvl w:val="0"/>
          <w:numId w:val="16"/>
        </w:numPr>
        <w:spacing w:before="100" w:beforeAutospacing="1" w:after="0" w:line="276" w:lineRule="auto"/>
        <w:ind w:left="720"/>
        <w:jc w:val="both"/>
        <w:rPr>
          <w:rFonts w:eastAsia="Times New Roman" w:cstheme="minorHAnsi"/>
          <w:sz w:val="24"/>
          <w:szCs w:val="24"/>
          <w:lang w:eastAsia="hr-HR"/>
        </w:rPr>
      </w:pPr>
      <w:r>
        <w:rPr>
          <w:rFonts w:eastAsia="Times New Roman" w:cstheme="minorHAnsi"/>
          <w:sz w:val="24"/>
          <w:szCs w:val="24"/>
          <w:lang w:eastAsia="hr-HR"/>
        </w:rPr>
        <w:t>razvijati vještine sustavnog praćenja, dokumentiranja i procjenjivanja dječjeg razvoja i postignuća:</w:t>
      </w:r>
    </w:p>
    <w:p w14:paraId="0FEB5A89">
      <w:pPr>
        <w:numPr>
          <w:ilvl w:val="0"/>
          <w:numId w:val="17"/>
        </w:numPr>
        <w:spacing w:after="100" w:afterAutospacing="1" w:line="276" w:lineRule="auto"/>
        <w:ind w:left="1080"/>
        <w:jc w:val="both"/>
        <w:rPr>
          <w:rFonts w:eastAsia="Times New Roman" w:cstheme="minorHAnsi"/>
          <w:sz w:val="24"/>
          <w:szCs w:val="24"/>
          <w:lang w:eastAsia="hr-HR"/>
        </w:rPr>
      </w:pPr>
      <w:r>
        <w:rPr>
          <w:rFonts w:eastAsia="Times New Roman" w:cstheme="minorHAnsi"/>
          <w:sz w:val="24"/>
          <w:szCs w:val="24"/>
          <w:lang w:eastAsia="hr-HR"/>
        </w:rPr>
        <w:t>osnažiti odgojitelje za primjenu različitih oblika dokumentiranja uz stručnu podršku suradnika,</w:t>
      </w:r>
    </w:p>
    <w:p w14:paraId="52FD0080">
      <w:pPr>
        <w:numPr>
          <w:ilvl w:val="0"/>
          <w:numId w:val="17"/>
        </w:numPr>
        <w:spacing w:before="100" w:beforeAutospacing="1" w:after="100" w:afterAutospacing="1" w:line="276" w:lineRule="auto"/>
        <w:ind w:left="1080"/>
        <w:jc w:val="both"/>
        <w:rPr>
          <w:rFonts w:eastAsia="Times New Roman" w:cstheme="minorHAnsi"/>
          <w:sz w:val="24"/>
          <w:szCs w:val="24"/>
          <w:lang w:eastAsia="hr-HR"/>
        </w:rPr>
      </w:pPr>
      <w:r>
        <w:rPr>
          <w:rFonts w:eastAsia="Times New Roman" w:cstheme="minorHAnsi"/>
          <w:sz w:val="24"/>
          <w:szCs w:val="24"/>
          <w:lang w:eastAsia="hr-HR"/>
        </w:rPr>
        <w:t>osigurati materijalne i organizacijske uvjete koji omogućuju kvalitetno praćenje razvoja svakog djeteta,</w:t>
      </w:r>
    </w:p>
    <w:p w14:paraId="2B43A43E">
      <w:pPr>
        <w:numPr>
          <w:ilvl w:val="0"/>
          <w:numId w:val="17"/>
        </w:numPr>
        <w:spacing w:before="100" w:beforeAutospacing="1" w:after="100" w:afterAutospacing="1" w:line="276" w:lineRule="auto"/>
        <w:ind w:left="1080"/>
        <w:jc w:val="both"/>
        <w:rPr>
          <w:rFonts w:eastAsia="Times New Roman" w:cstheme="minorHAnsi"/>
          <w:sz w:val="24"/>
          <w:szCs w:val="24"/>
          <w:lang w:eastAsia="hr-HR"/>
        </w:rPr>
      </w:pPr>
      <w:r>
        <w:rPr>
          <w:rFonts w:eastAsia="Times New Roman" w:cstheme="minorHAnsi"/>
          <w:sz w:val="24"/>
          <w:szCs w:val="24"/>
          <w:lang w:eastAsia="hr-HR"/>
        </w:rPr>
        <w:t>poticati primjenu projektnog pristupa učenju kroz osmišljavanje, provedbu, dokumentiranje i predstavljanje projekata djeci, roditeljima i lokalnoj zajednici.</w:t>
      </w:r>
    </w:p>
    <w:p w14:paraId="5D0099F1">
      <w:pPr>
        <w:pStyle w:val="4"/>
        <w:spacing w:line="276" w:lineRule="auto"/>
        <w:rPr>
          <w:rFonts w:asciiTheme="minorHAnsi" w:hAnsiTheme="minorHAnsi" w:cstheme="minorHAnsi"/>
        </w:rPr>
      </w:pPr>
      <w:r>
        <w:rPr>
          <w:rFonts w:asciiTheme="minorHAnsi" w:hAnsiTheme="minorHAnsi" w:cstheme="minorHAnsi"/>
        </w:rPr>
        <w:t>Očekivani ishodi</w:t>
      </w:r>
    </w:p>
    <w:p w14:paraId="7B1E8DF6">
      <w:pPr>
        <w:pStyle w:val="25"/>
        <w:numPr>
          <w:ilvl w:val="0"/>
          <w:numId w:val="18"/>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uspostavljeno zajedničko planiranje i vrednovanje rada među odgojiteljima,</w:t>
      </w:r>
    </w:p>
    <w:p w14:paraId="5E390748">
      <w:pPr>
        <w:pStyle w:val="25"/>
        <w:numPr>
          <w:ilvl w:val="0"/>
          <w:numId w:val="18"/>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unaprijeđena kvaliteta projektnog pristupa na razini cijele ustanove kroz razmjenu iskustava i primjera dobre prakse,</w:t>
      </w:r>
    </w:p>
    <w:p w14:paraId="4CD94B2B">
      <w:pPr>
        <w:pStyle w:val="25"/>
        <w:numPr>
          <w:ilvl w:val="0"/>
          <w:numId w:val="18"/>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sustavno praćenje i dokumentiranje razvoja svakog djeteta kao temelj kvalitetnog planiranja daljnjeg odgojno-obrazovnog rada.</w:t>
      </w:r>
    </w:p>
    <w:p w14:paraId="33E5C697">
      <w:pPr>
        <w:pStyle w:val="25"/>
        <w:tabs>
          <w:tab w:val="left" w:pos="720"/>
        </w:tabs>
        <w:spacing w:before="100" w:beforeAutospacing="1" w:after="100" w:afterAutospacing="1" w:line="276" w:lineRule="auto"/>
        <w:jc w:val="both"/>
        <w:rPr>
          <w:rFonts w:eastAsia="Times New Roman" w:cstheme="minorHAnsi"/>
          <w:sz w:val="24"/>
          <w:szCs w:val="24"/>
          <w:lang w:eastAsia="hr-HR"/>
        </w:rPr>
      </w:pPr>
    </w:p>
    <w:p w14:paraId="48CD1ABE">
      <w:pPr>
        <w:pStyle w:val="3"/>
        <w:jc w:val="both"/>
        <w:rPr>
          <w:rFonts w:asciiTheme="minorHAnsi" w:hAnsiTheme="minorHAnsi" w:cstheme="minorHAnsi"/>
        </w:rPr>
      </w:pPr>
      <w:r>
        <w:rPr>
          <w:rFonts w:asciiTheme="minorHAnsi" w:hAnsiTheme="minorHAnsi" w:cstheme="minorHAnsi"/>
        </w:rPr>
        <w:t>Unaprjeđenje suradnje i partnerstva s roditeljima</w:t>
      </w:r>
    </w:p>
    <w:p w14:paraId="54524AE3">
      <w:pPr>
        <w:pStyle w:val="46"/>
        <w:spacing w:after="0" w:afterAutospacing="0" w:line="276" w:lineRule="auto"/>
        <w:ind w:firstLine="578"/>
        <w:jc w:val="both"/>
        <w:rPr>
          <w:rFonts w:asciiTheme="minorHAnsi" w:hAnsiTheme="minorHAnsi" w:cstheme="minorHAnsi"/>
        </w:rPr>
      </w:pPr>
      <w:r>
        <w:rPr>
          <w:rFonts w:asciiTheme="minorHAnsi" w:hAnsiTheme="minorHAnsi" w:cstheme="minorHAnsi"/>
        </w:rPr>
        <w:t>Kvalitetna suradnja s roditeljima temelji se na međusobnom povjerenju, otvorenoj komunikaciji i zajedničkoj odgovornosti za dobrobit djeteta. Razvijanjem partnerskih odnosa potiče se aktivno uključivanje roditelja u život vrtića te stvaraju uvjeti za usklađeno djelovanje obitelji i odgojno-obrazovne ustanove.</w:t>
      </w:r>
    </w:p>
    <w:p w14:paraId="25D1BFAA">
      <w:pPr>
        <w:pStyle w:val="46"/>
        <w:spacing w:before="0" w:beforeAutospacing="0" w:after="0" w:afterAutospacing="0" w:line="276" w:lineRule="auto"/>
        <w:ind w:firstLine="578"/>
        <w:jc w:val="both"/>
        <w:rPr>
          <w:rFonts w:asciiTheme="minorHAnsi" w:hAnsiTheme="minorHAnsi" w:cstheme="minorHAnsi"/>
        </w:rPr>
      </w:pPr>
    </w:p>
    <w:p w14:paraId="181C3280">
      <w:pPr>
        <w:pStyle w:val="4"/>
        <w:spacing w:line="276" w:lineRule="auto"/>
        <w:jc w:val="both"/>
        <w:rPr>
          <w:rFonts w:asciiTheme="minorHAnsi" w:hAnsiTheme="minorHAnsi" w:cstheme="minorHAnsi"/>
        </w:rPr>
      </w:pPr>
      <w:r>
        <w:rPr>
          <w:rFonts w:asciiTheme="minorHAnsi" w:hAnsiTheme="minorHAnsi" w:cstheme="minorHAnsi"/>
        </w:rPr>
        <w:t>Ciljevi</w:t>
      </w:r>
    </w:p>
    <w:p w14:paraId="0CCA1EB6">
      <w:pPr>
        <w:numPr>
          <w:ilvl w:val="0"/>
          <w:numId w:val="19"/>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jačati partnerski odnos između roditelja, odgojitelja i stručnih suradnika radi što kvalitetnijeg praćenja i zadovoljavanja razvojnih potreba djece,</w:t>
      </w:r>
    </w:p>
    <w:p w14:paraId="4108E729">
      <w:pPr>
        <w:numPr>
          <w:ilvl w:val="0"/>
          <w:numId w:val="19"/>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razvijati različite oblike komunikacije i suradnje s roditeljima, uključujući svakodnevnu razmjenu informacija, individualne razgovore, roditeljske sastanke, radionice, zajednička druženja, obilježavanje važnih događaja, sudjelovanje roditelja u aktivnostima skupine te informiranje putem pisanih i digitalnih kanala,</w:t>
      </w:r>
    </w:p>
    <w:p w14:paraId="0D98EED5">
      <w:pPr>
        <w:numPr>
          <w:ilvl w:val="0"/>
          <w:numId w:val="19"/>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redovito prikupljati mišljenja roditelja o kvaliteti odgojno-obrazovnog rada te unapređivati načine vrednovanja programa,</w:t>
      </w:r>
    </w:p>
    <w:p w14:paraId="3F0F1A2D">
      <w:pPr>
        <w:numPr>
          <w:ilvl w:val="0"/>
          <w:numId w:val="19"/>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upoznati roditelje s preventivnim programima zaštite djece, uključujući aktivnosti usmjerene na prevenciju nasilja,</w:t>
      </w:r>
    </w:p>
    <w:p w14:paraId="416BFE0C">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povećati dostupnost informacija o radu ustanove redovitim ažuriranjem mrežne stranice i drugih oblika javnog informiranja.</w:t>
      </w:r>
    </w:p>
    <w:p w14:paraId="08C89A0F">
      <w:pPr>
        <w:tabs>
          <w:tab w:val="left" w:pos="720"/>
        </w:tabs>
        <w:spacing w:after="0" w:line="276" w:lineRule="auto"/>
        <w:ind w:left="720"/>
        <w:jc w:val="both"/>
        <w:rPr>
          <w:rFonts w:eastAsia="Times New Roman" w:cstheme="minorHAnsi"/>
          <w:sz w:val="24"/>
          <w:szCs w:val="24"/>
          <w:lang w:eastAsia="hr-HR"/>
        </w:rPr>
      </w:pPr>
    </w:p>
    <w:p w14:paraId="66FDFA0F">
      <w:pPr>
        <w:pStyle w:val="4"/>
        <w:spacing w:line="276" w:lineRule="auto"/>
        <w:rPr>
          <w:rFonts w:asciiTheme="minorHAnsi" w:hAnsiTheme="minorHAnsi" w:cstheme="minorHAnsi"/>
        </w:rPr>
      </w:pPr>
      <w:r>
        <w:rPr>
          <w:rFonts w:asciiTheme="minorHAnsi" w:hAnsiTheme="minorHAnsi" w:cstheme="minorHAnsi"/>
        </w:rPr>
        <w:t>Očekivani ishodi</w:t>
      </w:r>
    </w:p>
    <w:p w14:paraId="386EFA46">
      <w:pPr>
        <w:numPr>
          <w:ilvl w:val="0"/>
          <w:numId w:val="20"/>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razvijeno međusobno povjerenje i kvalitetna suradnja između obitelji i vrtića,</w:t>
      </w:r>
    </w:p>
    <w:p w14:paraId="14842DB1">
      <w:pPr>
        <w:numPr>
          <w:ilvl w:val="0"/>
          <w:numId w:val="20"/>
        </w:numPr>
        <w:spacing w:before="100" w:beforeAutospacing="1" w:after="100" w:afterAutospacing="1" w:line="276" w:lineRule="auto"/>
        <w:jc w:val="both"/>
        <w:rPr>
          <w:rFonts w:eastAsia="Times New Roman" w:cstheme="minorHAnsi"/>
          <w:sz w:val="24"/>
          <w:szCs w:val="24"/>
          <w:lang w:eastAsia="hr-HR"/>
        </w:rPr>
      </w:pPr>
      <w:r>
        <w:rPr>
          <w:rFonts w:eastAsia="Times New Roman" w:cstheme="minorHAnsi"/>
          <w:sz w:val="24"/>
          <w:szCs w:val="24"/>
          <w:lang w:eastAsia="hr-HR"/>
        </w:rPr>
        <w:t>roditelji aktivno sudjeluju u životu ustanove te se osjećaju uvaženo i informirano,</w:t>
      </w:r>
    </w:p>
    <w:p w14:paraId="27AB7DAC">
      <w:pPr>
        <w:numPr>
          <w:ilvl w:val="0"/>
          <w:numId w:val="20"/>
        </w:numPr>
        <w:spacing w:before="100" w:beforeAutospacing="1" w:after="0" w:line="276" w:lineRule="auto"/>
        <w:jc w:val="both"/>
        <w:rPr>
          <w:rFonts w:eastAsia="Times New Roman" w:cstheme="minorHAnsi"/>
          <w:sz w:val="24"/>
          <w:szCs w:val="24"/>
          <w:lang w:eastAsia="hr-HR"/>
        </w:rPr>
      </w:pPr>
      <w:r>
        <w:rPr>
          <w:rFonts w:eastAsia="Times New Roman" w:cstheme="minorHAnsi"/>
          <w:sz w:val="24"/>
          <w:szCs w:val="24"/>
          <w:lang w:eastAsia="hr-HR"/>
        </w:rPr>
        <w:t>ostvarena otvorena, stručna i profesionalna komunikacija koja doprinosi dobrobiti djeteta.</w:t>
      </w:r>
    </w:p>
    <w:p w14:paraId="37A596E2">
      <w:pPr>
        <w:tabs>
          <w:tab w:val="left" w:pos="720"/>
        </w:tabs>
        <w:spacing w:after="0" w:line="276" w:lineRule="auto"/>
        <w:ind w:left="720"/>
        <w:jc w:val="both"/>
        <w:rPr>
          <w:rFonts w:eastAsia="Times New Roman" w:cstheme="minorHAnsi"/>
          <w:sz w:val="24"/>
          <w:szCs w:val="24"/>
          <w:lang w:eastAsia="hr-HR"/>
        </w:rPr>
      </w:pPr>
    </w:p>
    <w:p w14:paraId="2F15D2E8">
      <w:pPr>
        <w:pStyle w:val="3"/>
        <w:rPr>
          <w:rFonts w:asciiTheme="minorHAnsi" w:hAnsiTheme="minorHAnsi" w:cstheme="minorHAnsi"/>
        </w:rPr>
      </w:pPr>
      <w:r>
        <w:rPr>
          <w:rFonts w:asciiTheme="minorHAnsi" w:hAnsiTheme="minorHAnsi" w:cstheme="minorHAnsi"/>
        </w:rPr>
        <w:t>Održivi razvoj u Dječjem vrtiću „Magnolija“</w:t>
      </w:r>
    </w:p>
    <w:p w14:paraId="1CB5E48C">
      <w:pPr>
        <w:spacing w:after="0" w:line="276" w:lineRule="auto"/>
        <w:rPr>
          <w:rFonts w:cstheme="minorHAnsi"/>
        </w:rPr>
      </w:pPr>
    </w:p>
    <w:p w14:paraId="274900A4">
      <w:pPr>
        <w:pStyle w:val="20"/>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Dječji vrtić „Magnolija“ promiče vrijednosti održivog razvoja kao sastavni dio svakodnevnog odgojno-obrazovnog rada. Kroz igru, istraživanje, iskustveno učenje i neposredan kontakt s prirodom djeca razvijaju odgovoran odnos prema sebi, drugim ljudima, prirodi i zajednici. Cilj je oblikovati navike i vrijednosti koje će pridonijeti očuvanju okoliša te razvoju aktivnih i odgovornih građana. Odgoj za održivi razvoj ostvaruje se integrirano kroz svakodnevne aktivnosti, projekte i suradnju s roditeljima i lokalnom zajednicom. Posebna se pozornost posvećuje razvoju ekološke osviještenosti, razumijevanju međuovisnosti čovjeka i prirode te usvajanju održivih životnih navika primjerenih dječjoj dobi. U provedbi odgojno-obrazovnog rada naglasak se stavlja na:</w:t>
      </w:r>
    </w:p>
    <w:p w14:paraId="36AA5B36">
      <w:pPr>
        <w:pStyle w:val="20"/>
        <w:numPr>
          <w:ilvl w:val="0"/>
          <w:numId w:val="21"/>
        </w:numPr>
        <w:spacing w:before="0" w:beforeAutospacing="0" w:line="276" w:lineRule="auto"/>
        <w:jc w:val="both"/>
        <w:rPr>
          <w:rFonts w:asciiTheme="minorHAnsi" w:hAnsiTheme="minorHAnsi" w:cstheme="minorHAnsi"/>
        </w:rPr>
      </w:pPr>
      <w:r>
        <w:rPr>
          <w:rFonts w:asciiTheme="minorHAnsi" w:hAnsiTheme="minorHAnsi" w:cstheme="minorHAnsi"/>
        </w:rPr>
        <w:t>razvoj odgovornog odnosa prema prirodnim resursima (voda, energija, papir i drugi materijali),</w:t>
      </w:r>
    </w:p>
    <w:p w14:paraId="4079F2F8">
      <w:pPr>
        <w:pStyle w:val="20"/>
        <w:numPr>
          <w:ilvl w:val="0"/>
          <w:numId w:val="21"/>
        </w:numPr>
        <w:spacing w:before="0" w:beforeAutospacing="0" w:line="276" w:lineRule="auto"/>
        <w:jc w:val="both"/>
        <w:rPr>
          <w:rFonts w:asciiTheme="minorHAnsi" w:hAnsiTheme="minorHAnsi" w:cstheme="minorHAnsi"/>
        </w:rPr>
      </w:pPr>
      <w:r>
        <w:rPr>
          <w:rFonts w:asciiTheme="minorHAnsi" w:hAnsiTheme="minorHAnsi" w:cstheme="minorHAnsi"/>
        </w:rPr>
        <w:t>pravilno razvrstavanje otpada, ponovnu uporabu i recikliranje materijala,</w:t>
      </w:r>
    </w:p>
    <w:p w14:paraId="216AF175">
      <w:pPr>
        <w:pStyle w:val="20"/>
        <w:numPr>
          <w:ilvl w:val="0"/>
          <w:numId w:val="21"/>
        </w:numPr>
        <w:spacing w:before="0" w:beforeAutospacing="0" w:line="276" w:lineRule="auto"/>
        <w:jc w:val="both"/>
        <w:rPr>
          <w:rFonts w:asciiTheme="minorHAnsi" w:hAnsiTheme="minorHAnsi" w:cstheme="minorHAnsi"/>
        </w:rPr>
      </w:pPr>
      <w:r>
        <w:rPr>
          <w:rFonts w:asciiTheme="minorHAnsi" w:hAnsiTheme="minorHAnsi" w:cstheme="minorHAnsi"/>
        </w:rPr>
        <w:t>boravak na otvorenom i neposredno upoznavanje prirodnog okruženja,</w:t>
      </w:r>
    </w:p>
    <w:p w14:paraId="1EBDD56C">
      <w:pPr>
        <w:pStyle w:val="20"/>
        <w:numPr>
          <w:ilvl w:val="0"/>
          <w:numId w:val="21"/>
        </w:numPr>
        <w:spacing w:before="0" w:beforeAutospacing="0" w:line="276" w:lineRule="auto"/>
        <w:jc w:val="both"/>
        <w:rPr>
          <w:rFonts w:asciiTheme="minorHAnsi" w:hAnsiTheme="minorHAnsi" w:cstheme="minorHAnsi"/>
        </w:rPr>
      </w:pPr>
      <w:r>
        <w:rPr>
          <w:rFonts w:asciiTheme="minorHAnsi" w:hAnsiTheme="minorHAnsi" w:cstheme="minorHAnsi"/>
        </w:rPr>
        <w:t>istraživanje prirodnih pojava, godišnjih doba te biljnih i životinjskih vrsta zavičaja,</w:t>
      </w:r>
    </w:p>
    <w:p w14:paraId="73B14162">
      <w:pPr>
        <w:pStyle w:val="20"/>
        <w:numPr>
          <w:ilvl w:val="0"/>
          <w:numId w:val="21"/>
        </w:numPr>
        <w:spacing w:before="0" w:beforeAutospacing="0" w:line="276" w:lineRule="auto"/>
        <w:jc w:val="both"/>
        <w:rPr>
          <w:rFonts w:asciiTheme="minorHAnsi" w:hAnsiTheme="minorHAnsi" w:cstheme="minorHAnsi"/>
        </w:rPr>
      </w:pPr>
      <w:r>
        <w:rPr>
          <w:rFonts w:asciiTheme="minorHAnsi" w:hAnsiTheme="minorHAnsi" w:cstheme="minorHAnsi"/>
        </w:rPr>
        <w:t>razvoj zdravih životnih navika, pravilne prehrane i tjelesne aktivnosti.</w:t>
      </w:r>
    </w:p>
    <w:p w14:paraId="722652CC">
      <w:pPr>
        <w:pStyle w:val="20"/>
        <w:numPr>
          <w:ilvl w:val="0"/>
          <w:numId w:val="21"/>
        </w:numPr>
        <w:spacing w:before="0" w:beforeAutospacing="0" w:line="276" w:lineRule="auto"/>
        <w:jc w:val="both"/>
        <w:rPr>
          <w:rFonts w:asciiTheme="minorHAnsi" w:hAnsiTheme="minorHAnsi" w:cstheme="minorHAnsi"/>
        </w:rPr>
      </w:pPr>
      <w:r>
        <w:rPr>
          <w:rFonts w:asciiTheme="minorHAnsi" w:hAnsiTheme="minorHAnsi" w:cstheme="minorHAnsi"/>
        </w:rPr>
        <w:t>njegovanje kulturne i prirodne baštine lokalne zajednice,</w:t>
      </w:r>
    </w:p>
    <w:p w14:paraId="4343423D">
      <w:pPr>
        <w:pStyle w:val="20"/>
        <w:numPr>
          <w:ilvl w:val="0"/>
          <w:numId w:val="21"/>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razvoj solidarnosti, međusobnog poštovanja, odgovornosti i aktivnog sudjelovanja u zajednici.</w:t>
      </w:r>
    </w:p>
    <w:p w14:paraId="0650E7D2">
      <w:pPr>
        <w:pStyle w:val="20"/>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Kroz različite projekte, radionice, obilježavanje ekoloških datuma, suradnju s roditeljima i ustanovama lokalne zajednice djeci se omogućuje stjecanje iskustava koja pridonose razumijevanju važnosti očuvanja okoliša i održivog razvoja. Djeca se potiču na postavljanje pitanja, istraživanje, pronalaženje rješenja i donošenje odgovornih odluka primjerenih njihovoj dobi.</w:t>
      </w:r>
    </w:p>
    <w:p w14:paraId="6713BE07">
      <w:pPr>
        <w:pStyle w:val="20"/>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Očekivani ishodi odgojno-obrazovnog rada su razvijena ekološka osviještenost, odgovorno ponašanje prema prirodi i zajednici, usvojene navike racionalnog korištenja prirodnih resursa, pozitivan odnos prema kulturnoj i prirodnoj baštini te razvoj osjećaja osobne odgovornosti za očuvanje okoliša i kvalitetu života sadašnjih i budućih naraštaja.</w:t>
      </w:r>
    </w:p>
    <w:p w14:paraId="138BAC78">
      <w:pPr>
        <w:spacing w:after="0" w:line="276" w:lineRule="auto"/>
        <w:rPr>
          <w:rFonts w:cstheme="minorHAnsi"/>
        </w:rPr>
      </w:pPr>
    </w:p>
    <w:p w14:paraId="4D0FD93C">
      <w:pPr>
        <w:pStyle w:val="3"/>
        <w:rPr>
          <w:rFonts w:asciiTheme="minorHAnsi" w:hAnsiTheme="minorHAnsi" w:cstheme="minorHAnsi"/>
        </w:rPr>
      </w:pPr>
      <w:r>
        <w:rPr>
          <w:rFonts w:asciiTheme="minorHAnsi" w:hAnsiTheme="minorHAnsi" w:cstheme="minorHAnsi"/>
        </w:rPr>
        <w:t>Strategija rada stručnog tima</w:t>
      </w:r>
    </w:p>
    <w:p w14:paraId="1C7579BB">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Stručni tim Dječjeg vrtića čine ravnatelj, odgojitelji, pedagog, zdravstveni voditelj te, prema potrebi, drugi stručni suradnici, ovisno o problematici koja se razmatra. Rad stručnog tima koordinira ravnatelj, koji aktivno sudjeluje u planiranju, organizaciji i provedbi svih aktivnosti s ciljem osiguravanja kvalitetnog odgojno-obrazovnog rada. </w:t>
      </w:r>
    </w:p>
    <w:p w14:paraId="185A7BE5">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Temeljna zadaća stručnog tima jest stvaranje sigurnog, poticajnog i kvalitetnog okruženja koje pridonosi cjelovitom rastu, razvoju i dobrobiti svakog djeteta. U okviru svojih aktivnosti stručni tim kontinuirano prati kvalitetu odgojno-obrazovnog procesa, razinu njege, zdravstvene zaštite i sigurnosti djece te predlaže mjere za unapređenje rada ustanove. </w:t>
      </w:r>
    </w:p>
    <w:p w14:paraId="5FB7CF40">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Važan dio rada stručnog tima odnosi se na sudjelovanje u postupku upisa djece, provođenje inicijalnih razgovora s roditeljima, formiranje odgojnih skupina te praćenje procesa prilagodbe novoupisane djece. Posebna se pozornost posvećuje sustavnom praćenju dječjeg razvoja i zdravstvenog stanja, pravodobnom prepoznavanju djece s posebnim odgojno-obrazovnim potrebama ili teškoćama u razvoju te planiranju odgovarajućih oblika stručne podrške. </w:t>
      </w:r>
    </w:p>
    <w:p w14:paraId="26E31656">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Stručni tim kontinuirano radi na unapređivanju stručnih kompetencija svih zaposlenika prateći suvremene spoznaje iz područja pedagogije, psihologije, zdravstvene skrbi i drugih srodnih znanosti. Stečena znanja primjenjuju se u svakodnevnoj odgojno-obrazovnoj praksi kroz uvođenje novih metoda rada i inovativnih pristupa, u skladu sa smjernicama nadležnih institucija i potrebama djece. </w:t>
      </w:r>
    </w:p>
    <w:p w14:paraId="5EB449CA">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Jedna od važnih zadaća stručnog tima jest i pružanje podrške djeci u prevladavanju razvojnih teškoća i nepovoljnih čimbenika koji mogu utjecati na njihov rast i razvoj. Istodobno se razvijaju partnerski odnosi s roditeljima kako bi se zajedničkim djelovanjem osigurali što bolji uvjeti za odgoj i razvoj djeteta u obiteljskom i vrtićkom okruženju. </w:t>
      </w:r>
    </w:p>
    <w:p w14:paraId="62D3ED47">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Stručni tim aktivno doprinosi promicanju važnosti ranog i predškolskog odgoja u lokalnoj zajednici te potiče suradnju s osnovnim školama i drugim ustanovama koje sudjeluju u odgoju i obrazovanju djece. Razmjena iskustava s drugim predškolskim ustanovama, predstavljanje primjera dobre prakse te sudjelovanje u stručnim i znanstvenim istraživanjima pridonose stalnom unapređenju kvalitete rada vrtića. </w:t>
      </w:r>
    </w:p>
    <w:p w14:paraId="5C318200">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 xml:space="preserve">Osim neposrednog rada s djecom i roditeljima, stručni tim sudjeluje u izradi godišnjeg plana i programa rada, kurikula vrtića i godišnjeg izvješća, vodi propisanu stručnu dokumentaciju te se kontinuirano stručno usavršava. Svoj rad temelji na profesionalnoj suradnji, međusobnom uvažavanju i zajedničkom donošenju odluka, pri čemu koordinira djelovanje svih zaposlenika vrtića, uključujući odgojno-obrazovne, zdravstvene, tehničke i pomoćne djelatnike. </w:t>
      </w:r>
    </w:p>
    <w:p w14:paraId="1684B022">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Sjednice stručnog tima održavaju se prema potrebi, a njihov tijek i doneseni zaključci uredno se evidentiraju u zapisnicima.</w:t>
      </w:r>
    </w:p>
    <w:p w14:paraId="56CE94B6">
      <w:pPr>
        <w:pStyle w:val="26"/>
        <w:spacing w:before="0" w:beforeAutospacing="0" w:after="0" w:afterAutospacing="0" w:line="276" w:lineRule="auto"/>
        <w:jc w:val="both"/>
        <w:rPr>
          <w:rFonts w:asciiTheme="minorHAnsi" w:hAnsiTheme="minorHAnsi" w:cstheme="minorHAnsi"/>
          <w:b/>
          <w:bCs/>
        </w:rPr>
      </w:pPr>
    </w:p>
    <w:p w14:paraId="3AD3084D">
      <w:pPr>
        <w:pStyle w:val="3"/>
        <w:rPr>
          <w:rFonts w:asciiTheme="minorHAnsi" w:hAnsiTheme="minorHAnsi" w:cstheme="minorHAnsi"/>
        </w:rPr>
      </w:pPr>
      <w:r>
        <w:rPr>
          <w:rFonts w:asciiTheme="minorHAnsi" w:hAnsiTheme="minorHAnsi" w:cstheme="minorHAnsi"/>
        </w:rPr>
        <w:t>Praćenje, vrednovanje i revizija kurikula</w:t>
      </w:r>
    </w:p>
    <w:p w14:paraId="4CF23B2D">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Kurikul Dječjeg vrtića „Magnolija“ predstavlja razvojni dokument ustanove kojim se utvrđuju temeljna načela, ciljevi i smjernice odgojno-obrazovnoga rada za razdoblje od 2026. do 2031. godine.</w:t>
      </w:r>
    </w:p>
    <w:p w14:paraId="03D518F3">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Njegova provedba kontinuirano će se pratiti kroz:</w:t>
      </w:r>
    </w:p>
    <w:p w14:paraId="212ACF76">
      <w:pPr>
        <w:pStyle w:val="26"/>
        <w:numPr>
          <w:ilvl w:val="0"/>
          <w:numId w:val="22"/>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godišnje planove i programe rada, </w:t>
      </w:r>
    </w:p>
    <w:p w14:paraId="0265A9A7">
      <w:pPr>
        <w:pStyle w:val="26"/>
        <w:numPr>
          <w:ilvl w:val="0"/>
          <w:numId w:val="22"/>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godišnja izvješća o ostvarivanju plana i programa rada, </w:t>
      </w:r>
    </w:p>
    <w:p w14:paraId="112A1F99">
      <w:pPr>
        <w:pStyle w:val="26"/>
        <w:numPr>
          <w:ilvl w:val="0"/>
          <w:numId w:val="22"/>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unutarnje vrednovanje kvalitete odgojno-obrazovnoga rada, </w:t>
      </w:r>
    </w:p>
    <w:p w14:paraId="180ADF58">
      <w:pPr>
        <w:pStyle w:val="26"/>
        <w:numPr>
          <w:ilvl w:val="0"/>
          <w:numId w:val="22"/>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stručno-pedagoško praćenje rada odgojitelja i stručnih suradnika, </w:t>
      </w:r>
    </w:p>
    <w:p w14:paraId="7426E445">
      <w:pPr>
        <w:pStyle w:val="26"/>
        <w:numPr>
          <w:ilvl w:val="0"/>
          <w:numId w:val="22"/>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analizu postignuća razvojnih ciljeva ustanove, </w:t>
      </w:r>
    </w:p>
    <w:p w14:paraId="131018D7">
      <w:pPr>
        <w:pStyle w:val="26"/>
        <w:numPr>
          <w:ilvl w:val="0"/>
          <w:numId w:val="22"/>
        </w:numPr>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suradnju s roditeljima, osnivačem i lokalnom zajednicom. </w:t>
      </w:r>
    </w:p>
    <w:p w14:paraId="6B95A7A0">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Na temelju rezultata vrednovanja, promjena zakonskih i podzakonskih propisa, smjernica nadležnih tijela te razvojnih potreba djece i ustanove, Kurikul se može tijekom njegova važenja dopunjavati, mijenjati ili usklađivati.</w:t>
      </w:r>
    </w:p>
    <w:p w14:paraId="674C95D1">
      <w:pPr>
        <w:pStyle w:val="26"/>
        <w:spacing w:before="0" w:beforeAutospacing="0" w:after="0" w:afterAutospacing="0" w:line="276" w:lineRule="auto"/>
        <w:ind w:firstLine="426"/>
        <w:jc w:val="both"/>
        <w:rPr>
          <w:rFonts w:asciiTheme="minorHAnsi" w:hAnsiTheme="minorHAnsi" w:cstheme="minorHAnsi"/>
        </w:rPr>
      </w:pPr>
      <w:r>
        <w:rPr>
          <w:rFonts w:asciiTheme="minorHAnsi" w:hAnsiTheme="minorHAnsi" w:cstheme="minorHAnsi"/>
        </w:rPr>
        <w:t>Izmjene i dopune Kurikula donosi Upravno vijeće Dječjeg vrtića „Magnolija“ na prijedlog ravnatelja, uz prethodno razmatranje na Odgojiteljskom vijeću, u skladu sa zakonom i Statutom Vrtića.</w:t>
      </w:r>
    </w:p>
    <w:p w14:paraId="2B835B25">
      <w:pPr>
        <w:pStyle w:val="26"/>
        <w:spacing w:before="0" w:beforeAutospacing="0" w:after="0" w:afterAutospacing="0" w:line="276" w:lineRule="auto"/>
        <w:ind w:firstLine="426"/>
        <w:jc w:val="both"/>
        <w:rPr>
          <w:rFonts w:asciiTheme="minorHAnsi" w:hAnsiTheme="minorHAnsi" w:cstheme="minorHAnsi"/>
        </w:rPr>
      </w:pPr>
    </w:p>
    <w:p w14:paraId="02BD06C8">
      <w:pPr>
        <w:tabs>
          <w:tab w:val="center" w:pos="4680"/>
        </w:tabs>
        <w:spacing w:line="276" w:lineRule="auto"/>
        <w:jc w:val="both"/>
        <w:rPr>
          <w:rFonts w:cstheme="minorHAnsi"/>
          <w:sz w:val="24"/>
          <w:szCs w:val="24"/>
        </w:rPr>
      </w:pPr>
    </w:p>
    <w:p w14:paraId="28B9DF14">
      <w:pPr>
        <w:pStyle w:val="2"/>
        <w:spacing w:line="276" w:lineRule="auto"/>
        <w:rPr>
          <w:rStyle w:val="32"/>
          <w:rFonts w:asciiTheme="minorHAnsi" w:hAnsiTheme="minorHAnsi" w:cstheme="minorHAnsi"/>
          <w:b/>
          <w:bCs/>
        </w:rPr>
      </w:pPr>
      <w:r>
        <w:rPr>
          <w:rStyle w:val="32"/>
          <w:rFonts w:asciiTheme="minorHAnsi" w:hAnsiTheme="minorHAnsi" w:cstheme="minorHAnsi"/>
          <w:b/>
          <w:bCs/>
        </w:rPr>
        <w:t>DATUMI ZNAČAJNI ZA PLANIRANJE AKTIVNOSTI</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1"/>
        <w:gridCol w:w="3259"/>
      </w:tblGrid>
      <w:tr w14:paraId="135E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091" w:type="dxa"/>
            <w:shd w:val="clear" w:color="auto" w:fill="FFCCD5"/>
            <w:vAlign w:val="center"/>
          </w:tcPr>
          <w:p w14:paraId="7DAFD37D">
            <w:pPr>
              <w:tabs>
                <w:tab w:val="center" w:pos="4680"/>
              </w:tabs>
              <w:spacing w:after="0" w:line="276" w:lineRule="auto"/>
              <w:jc w:val="center"/>
              <w:rPr>
                <w:rFonts w:cstheme="minorHAnsi"/>
                <w:b/>
                <w:bCs/>
                <w:sz w:val="24"/>
                <w:szCs w:val="24"/>
              </w:rPr>
            </w:pPr>
            <w:r>
              <w:rPr>
                <w:rFonts w:cstheme="minorHAnsi"/>
                <w:b/>
                <w:bCs/>
                <w:sz w:val="24"/>
                <w:szCs w:val="24"/>
              </w:rPr>
              <w:t>aktivnost</w:t>
            </w:r>
          </w:p>
        </w:tc>
        <w:tc>
          <w:tcPr>
            <w:tcW w:w="3259" w:type="dxa"/>
            <w:shd w:val="clear" w:color="auto" w:fill="FFCCD5"/>
            <w:vAlign w:val="center"/>
          </w:tcPr>
          <w:p w14:paraId="5D514F5B">
            <w:pPr>
              <w:tabs>
                <w:tab w:val="center" w:pos="4680"/>
              </w:tabs>
              <w:spacing w:after="0" w:line="276" w:lineRule="auto"/>
              <w:jc w:val="center"/>
              <w:rPr>
                <w:rFonts w:cstheme="minorHAnsi"/>
                <w:b/>
                <w:bCs/>
                <w:sz w:val="24"/>
                <w:szCs w:val="24"/>
              </w:rPr>
            </w:pPr>
            <w:r>
              <w:rPr>
                <w:rFonts w:cstheme="minorHAnsi"/>
                <w:b/>
                <w:bCs/>
                <w:sz w:val="24"/>
                <w:szCs w:val="24"/>
              </w:rPr>
              <w:t>vrijeme realizacije</w:t>
            </w:r>
          </w:p>
        </w:tc>
      </w:tr>
      <w:tr w14:paraId="47B3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00154FD">
            <w:pPr>
              <w:tabs>
                <w:tab w:val="center" w:pos="4680"/>
              </w:tabs>
              <w:spacing w:after="0" w:line="276" w:lineRule="auto"/>
              <w:jc w:val="both"/>
              <w:rPr>
                <w:rFonts w:cstheme="minorHAnsi"/>
                <w:b/>
                <w:bCs/>
                <w:sz w:val="24"/>
                <w:szCs w:val="24"/>
              </w:rPr>
            </w:pPr>
            <w:r>
              <w:rPr>
                <w:rFonts w:cstheme="minorHAnsi"/>
                <w:sz w:val="24"/>
                <w:szCs w:val="24"/>
              </w:rPr>
              <w:t>Dan hrvatskih voda</w:t>
            </w:r>
          </w:p>
        </w:tc>
        <w:tc>
          <w:tcPr>
            <w:tcW w:w="3259" w:type="dxa"/>
          </w:tcPr>
          <w:p w14:paraId="6E262056">
            <w:pPr>
              <w:tabs>
                <w:tab w:val="center" w:pos="4680"/>
              </w:tabs>
              <w:spacing w:after="0" w:line="276" w:lineRule="auto"/>
              <w:jc w:val="both"/>
              <w:rPr>
                <w:rFonts w:cstheme="minorHAnsi"/>
                <w:sz w:val="24"/>
                <w:szCs w:val="24"/>
              </w:rPr>
            </w:pPr>
            <w:r>
              <w:rPr>
                <w:rFonts w:cstheme="minorHAnsi"/>
                <w:sz w:val="24"/>
                <w:szCs w:val="24"/>
              </w:rPr>
              <w:t>7. 9.</w:t>
            </w:r>
          </w:p>
        </w:tc>
      </w:tr>
      <w:tr w14:paraId="2DF8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86E1023">
            <w:pPr>
              <w:tabs>
                <w:tab w:val="center" w:pos="4680"/>
              </w:tabs>
              <w:spacing w:after="0" w:line="276" w:lineRule="auto"/>
              <w:jc w:val="both"/>
              <w:rPr>
                <w:rFonts w:cstheme="minorHAnsi"/>
                <w:b/>
                <w:bCs/>
                <w:sz w:val="24"/>
                <w:szCs w:val="24"/>
              </w:rPr>
            </w:pPr>
            <w:r>
              <w:rPr>
                <w:rFonts w:cstheme="minorHAnsi"/>
                <w:sz w:val="24"/>
                <w:szCs w:val="24"/>
              </w:rPr>
              <w:t>Svjetski dan pismenosti</w:t>
            </w:r>
          </w:p>
        </w:tc>
        <w:tc>
          <w:tcPr>
            <w:tcW w:w="3259" w:type="dxa"/>
          </w:tcPr>
          <w:p w14:paraId="416DD7B2">
            <w:pPr>
              <w:tabs>
                <w:tab w:val="center" w:pos="4680"/>
              </w:tabs>
              <w:spacing w:after="0" w:line="276" w:lineRule="auto"/>
              <w:jc w:val="both"/>
              <w:rPr>
                <w:rFonts w:cstheme="minorHAnsi"/>
                <w:sz w:val="24"/>
                <w:szCs w:val="24"/>
              </w:rPr>
            </w:pPr>
            <w:r>
              <w:rPr>
                <w:rFonts w:cstheme="minorHAnsi"/>
                <w:sz w:val="24"/>
                <w:szCs w:val="24"/>
              </w:rPr>
              <w:t>8. 9.</w:t>
            </w:r>
          </w:p>
        </w:tc>
      </w:tr>
      <w:tr w14:paraId="1903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5DFE8F8">
            <w:pPr>
              <w:tabs>
                <w:tab w:val="center" w:pos="4680"/>
              </w:tabs>
              <w:spacing w:after="0" w:line="276" w:lineRule="auto"/>
              <w:jc w:val="both"/>
              <w:rPr>
                <w:rFonts w:cstheme="minorHAnsi"/>
                <w:b/>
                <w:bCs/>
                <w:sz w:val="24"/>
                <w:szCs w:val="24"/>
              </w:rPr>
            </w:pPr>
            <w:r>
              <w:rPr>
                <w:rFonts w:cstheme="minorHAnsi"/>
                <w:sz w:val="24"/>
                <w:szCs w:val="24"/>
              </w:rPr>
              <w:t>Hrvatski olimpijski dan</w:t>
            </w:r>
          </w:p>
        </w:tc>
        <w:tc>
          <w:tcPr>
            <w:tcW w:w="3259" w:type="dxa"/>
          </w:tcPr>
          <w:p w14:paraId="69F938C0">
            <w:pPr>
              <w:tabs>
                <w:tab w:val="center" w:pos="4680"/>
              </w:tabs>
              <w:spacing w:after="0" w:line="276" w:lineRule="auto"/>
              <w:jc w:val="both"/>
              <w:rPr>
                <w:rFonts w:cstheme="minorHAnsi"/>
                <w:sz w:val="24"/>
                <w:szCs w:val="24"/>
              </w:rPr>
            </w:pPr>
            <w:r>
              <w:rPr>
                <w:rFonts w:cstheme="minorHAnsi"/>
                <w:sz w:val="24"/>
                <w:szCs w:val="24"/>
              </w:rPr>
              <w:t>10. 9.</w:t>
            </w:r>
          </w:p>
        </w:tc>
      </w:tr>
      <w:tr w14:paraId="2EF1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387BA85">
            <w:pPr>
              <w:tabs>
                <w:tab w:val="center" w:pos="4680"/>
              </w:tabs>
              <w:spacing w:after="0" w:line="276" w:lineRule="auto"/>
              <w:jc w:val="both"/>
              <w:rPr>
                <w:rFonts w:cstheme="minorHAnsi"/>
                <w:b/>
                <w:bCs/>
                <w:sz w:val="24"/>
                <w:szCs w:val="24"/>
              </w:rPr>
            </w:pPr>
            <w:r>
              <w:rPr>
                <w:rFonts w:cstheme="minorHAnsi"/>
                <w:sz w:val="24"/>
                <w:szCs w:val="24"/>
              </w:rPr>
              <w:t>Europski tjedan kretanja</w:t>
            </w:r>
          </w:p>
        </w:tc>
        <w:tc>
          <w:tcPr>
            <w:tcW w:w="3259" w:type="dxa"/>
          </w:tcPr>
          <w:p w14:paraId="290B3B5D">
            <w:pPr>
              <w:tabs>
                <w:tab w:val="center" w:pos="4680"/>
              </w:tabs>
              <w:spacing w:after="0" w:line="276" w:lineRule="auto"/>
              <w:jc w:val="both"/>
              <w:rPr>
                <w:rFonts w:cstheme="minorHAnsi"/>
                <w:sz w:val="24"/>
                <w:szCs w:val="24"/>
              </w:rPr>
            </w:pPr>
            <w:r>
              <w:rPr>
                <w:rFonts w:cstheme="minorHAnsi"/>
                <w:sz w:val="24"/>
                <w:szCs w:val="24"/>
              </w:rPr>
              <w:t>10. ─ 17. 9.</w:t>
            </w:r>
          </w:p>
        </w:tc>
      </w:tr>
      <w:tr w14:paraId="28A5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219DD37">
            <w:pPr>
              <w:tabs>
                <w:tab w:val="center" w:pos="4680"/>
              </w:tabs>
              <w:spacing w:after="0" w:line="276" w:lineRule="auto"/>
              <w:jc w:val="both"/>
              <w:rPr>
                <w:rFonts w:cstheme="minorHAnsi"/>
                <w:b/>
                <w:bCs/>
                <w:sz w:val="24"/>
                <w:szCs w:val="24"/>
              </w:rPr>
            </w:pPr>
            <w:r>
              <w:rPr>
                <w:rFonts w:cstheme="minorHAnsi"/>
                <w:sz w:val="24"/>
                <w:szCs w:val="24"/>
              </w:rPr>
              <w:t>Međunarodni dan mira</w:t>
            </w:r>
          </w:p>
        </w:tc>
        <w:tc>
          <w:tcPr>
            <w:tcW w:w="3259" w:type="dxa"/>
          </w:tcPr>
          <w:p w14:paraId="65487B0B">
            <w:pPr>
              <w:tabs>
                <w:tab w:val="center" w:pos="4680"/>
              </w:tabs>
              <w:spacing w:after="0" w:line="276" w:lineRule="auto"/>
              <w:jc w:val="both"/>
              <w:rPr>
                <w:rFonts w:cstheme="minorHAnsi"/>
                <w:sz w:val="24"/>
                <w:szCs w:val="24"/>
              </w:rPr>
            </w:pPr>
            <w:r>
              <w:rPr>
                <w:rFonts w:cstheme="minorHAnsi"/>
                <w:sz w:val="24"/>
                <w:szCs w:val="24"/>
              </w:rPr>
              <w:t>21. 9.</w:t>
            </w:r>
          </w:p>
        </w:tc>
      </w:tr>
      <w:tr w14:paraId="35D2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619415B">
            <w:pPr>
              <w:tabs>
                <w:tab w:val="center" w:pos="4680"/>
              </w:tabs>
              <w:spacing w:after="0" w:line="276" w:lineRule="auto"/>
              <w:jc w:val="both"/>
              <w:rPr>
                <w:rFonts w:cstheme="minorHAnsi"/>
                <w:b/>
                <w:bCs/>
                <w:sz w:val="24"/>
                <w:szCs w:val="24"/>
              </w:rPr>
            </w:pPr>
            <w:r>
              <w:rPr>
                <w:rFonts w:cstheme="minorHAnsi"/>
                <w:sz w:val="24"/>
                <w:szCs w:val="24"/>
              </w:rPr>
              <w:t>Prvi dan jeseni</w:t>
            </w:r>
          </w:p>
        </w:tc>
        <w:tc>
          <w:tcPr>
            <w:tcW w:w="3259" w:type="dxa"/>
          </w:tcPr>
          <w:p w14:paraId="71ED408F">
            <w:pPr>
              <w:tabs>
                <w:tab w:val="center" w:pos="4680"/>
              </w:tabs>
              <w:spacing w:after="0" w:line="276" w:lineRule="auto"/>
              <w:jc w:val="both"/>
              <w:rPr>
                <w:rFonts w:cstheme="minorHAnsi"/>
                <w:sz w:val="24"/>
                <w:szCs w:val="24"/>
              </w:rPr>
            </w:pPr>
            <w:r>
              <w:rPr>
                <w:rFonts w:cstheme="minorHAnsi"/>
                <w:sz w:val="24"/>
                <w:szCs w:val="24"/>
              </w:rPr>
              <w:t>23. 9.</w:t>
            </w:r>
          </w:p>
        </w:tc>
      </w:tr>
      <w:tr w14:paraId="00D0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BA42031">
            <w:pPr>
              <w:tabs>
                <w:tab w:val="center" w:pos="4680"/>
              </w:tabs>
              <w:spacing w:after="0" w:line="276" w:lineRule="auto"/>
              <w:jc w:val="both"/>
              <w:rPr>
                <w:rFonts w:cstheme="minorHAnsi"/>
                <w:b/>
                <w:bCs/>
                <w:sz w:val="24"/>
                <w:szCs w:val="24"/>
              </w:rPr>
            </w:pPr>
            <w:r>
              <w:rPr>
                <w:rFonts w:cstheme="minorHAnsi"/>
                <w:sz w:val="24"/>
                <w:szCs w:val="24"/>
              </w:rPr>
              <w:t>Međunarodni dan gluhih osoba</w:t>
            </w:r>
          </w:p>
        </w:tc>
        <w:tc>
          <w:tcPr>
            <w:tcW w:w="3259" w:type="dxa"/>
          </w:tcPr>
          <w:p w14:paraId="1273D577">
            <w:pPr>
              <w:tabs>
                <w:tab w:val="center" w:pos="4680"/>
              </w:tabs>
              <w:spacing w:after="0" w:line="276" w:lineRule="auto"/>
              <w:jc w:val="both"/>
              <w:rPr>
                <w:rFonts w:cstheme="minorHAnsi"/>
                <w:sz w:val="24"/>
                <w:szCs w:val="24"/>
              </w:rPr>
            </w:pPr>
            <w:r>
              <w:rPr>
                <w:rFonts w:cstheme="minorHAnsi"/>
                <w:sz w:val="24"/>
                <w:szCs w:val="24"/>
              </w:rPr>
              <w:t>zadnja subota u rujnu</w:t>
            </w:r>
          </w:p>
        </w:tc>
      </w:tr>
      <w:tr w14:paraId="095F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9F312CD">
            <w:pPr>
              <w:tabs>
                <w:tab w:val="center" w:pos="4680"/>
              </w:tabs>
              <w:spacing w:after="0" w:line="276" w:lineRule="auto"/>
              <w:jc w:val="both"/>
              <w:rPr>
                <w:rFonts w:cstheme="minorHAnsi"/>
                <w:b/>
                <w:bCs/>
                <w:sz w:val="24"/>
                <w:szCs w:val="24"/>
              </w:rPr>
            </w:pPr>
            <w:r>
              <w:rPr>
                <w:rFonts w:cstheme="minorHAnsi"/>
                <w:sz w:val="24"/>
                <w:szCs w:val="24"/>
              </w:rPr>
              <w:t xml:space="preserve">Međunarodni dan starijih osoba </w:t>
            </w:r>
          </w:p>
        </w:tc>
        <w:tc>
          <w:tcPr>
            <w:tcW w:w="3259" w:type="dxa"/>
          </w:tcPr>
          <w:p w14:paraId="2D2541EE">
            <w:pPr>
              <w:tabs>
                <w:tab w:val="center" w:pos="4680"/>
              </w:tabs>
              <w:spacing w:after="0" w:line="276" w:lineRule="auto"/>
              <w:jc w:val="both"/>
              <w:rPr>
                <w:rFonts w:cstheme="minorHAnsi"/>
                <w:sz w:val="24"/>
                <w:szCs w:val="24"/>
              </w:rPr>
            </w:pPr>
            <w:r>
              <w:rPr>
                <w:rFonts w:cstheme="minorHAnsi"/>
                <w:sz w:val="24"/>
                <w:szCs w:val="24"/>
              </w:rPr>
              <w:t>1. 10.</w:t>
            </w:r>
          </w:p>
        </w:tc>
      </w:tr>
      <w:tr w14:paraId="1406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D5A4904">
            <w:pPr>
              <w:tabs>
                <w:tab w:val="center" w:pos="4680"/>
              </w:tabs>
              <w:spacing w:after="0" w:line="276" w:lineRule="auto"/>
              <w:jc w:val="both"/>
              <w:rPr>
                <w:rFonts w:cstheme="minorHAnsi"/>
                <w:b/>
                <w:bCs/>
                <w:sz w:val="24"/>
                <w:szCs w:val="24"/>
              </w:rPr>
            </w:pPr>
            <w:r>
              <w:rPr>
                <w:rFonts w:cstheme="minorHAnsi"/>
                <w:sz w:val="24"/>
                <w:szCs w:val="24"/>
              </w:rPr>
              <w:t>Međunarodni dan nenasilja</w:t>
            </w:r>
          </w:p>
        </w:tc>
        <w:tc>
          <w:tcPr>
            <w:tcW w:w="3259" w:type="dxa"/>
          </w:tcPr>
          <w:p w14:paraId="2BAFD839">
            <w:pPr>
              <w:tabs>
                <w:tab w:val="center" w:pos="4680"/>
              </w:tabs>
              <w:spacing w:after="0" w:line="276" w:lineRule="auto"/>
              <w:jc w:val="both"/>
              <w:rPr>
                <w:rFonts w:cstheme="minorHAnsi"/>
                <w:sz w:val="24"/>
                <w:szCs w:val="24"/>
              </w:rPr>
            </w:pPr>
            <w:r>
              <w:rPr>
                <w:rFonts w:cstheme="minorHAnsi"/>
                <w:sz w:val="24"/>
                <w:szCs w:val="24"/>
              </w:rPr>
              <w:t>2. 10.</w:t>
            </w:r>
          </w:p>
        </w:tc>
      </w:tr>
      <w:tr w14:paraId="39DC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689D58E">
            <w:pPr>
              <w:tabs>
                <w:tab w:val="center" w:pos="4680"/>
              </w:tabs>
              <w:spacing w:after="0" w:line="276" w:lineRule="auto"/>
              <w:jc w:val="both"/>
              <w:rPr>
                <w:rFonts w:cstheme="minorHAnsi"/>
                <w:b/>
                <w:bCs/>
                <w:sz w:val="24"/>
                <w:szCs w:val="24"/>
              </w:rPr>
            </w:pPr>
            <w:r>
              <w:rPr>
                <w:rFonts w:cstheme="minorHAnsi"/>
                <w:sz w:val="24"/>
                <w:szCs w:val="24"/>
              </w:rPr>
              <w:t xml:space="preserve">Svjetski dan zaštite životinja </w:t>
            </w:r>
          </w:p>
        </w:tc>
        <w:tc>
          <w:tcPr>
            <w:tcW w:w="3259" w:type="dxa"/>
          </w:tcPr>
          <w:p w14:paraId="50D29648">
            <w:pPr>
              <w:tabs>
                <w:tab w:val="center" w:pos="4680"/>
              </w:tabs>
              <w:spacing w:after="0" w:line="276" w:lineRule="auto"/>
              <w:jc w:val="both"/>
              <w:rPr>
                <w:rFonts w:cstheme="minorHAnsi"/>
                <w:sz w:val="24"/>
                <w:szCs w:val="24"/>
              </w:rPr>
            </w:pPr>
            <w:r>
              <w:rPr>
                <w:rFonts w:cstheme="minorHAnsi"/>
                <w:sz w:val="24"/>
                <w:szCs w:val="24"/>
              </w:rPr>
              <w:t>4. 10.</w:t>
            </w:r>
          </w:p>
        </w:tc>
      </w:tr>
      <w:tr w14:paraId="6749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C9E0A7B">
            <w:pPr>
              <w:tabs>
                <w:tab w:val="center" w:pos="4680"/>
              </w:tabs>
              <w:spacing w:after="0" w:line="276" w:lineRule="auto"/>
              <w:jc w:val="both"/>
              <w:rPr>
                <w:rFonts w:cstheme="minorHAnsi"/>
                <w:b/>
                <w:bCs/>
                <w:sz w:val="24"/>
                <w:szCs w:val="24"/>
              </w:rPr>
            </w:pPr>
            <w:r>
              <w:rPr>
                <w:rFonts w:cstheme="minorHAnsi"/>
                <w:sz w:val="24"/>
                <w:szCs w:val="24"/>
              </w:rPr>
              <w:t>Dječji tjedan</w:t>
            </w:r>
          </w:p>
        </w:tc>
        <w:tc>
          <w:tcPr>
            <w:tcW w:w="3259" w:type="dxa"/>
          </w:tcPr>
          <w:p w14:paraId="6604F576">
            <w:pPr>
              <w:tabs>
                <w:tab w:val="center" w:pos="4680"/>
              </w:tabs>
              <w:spacing w:after="0" w:line="276" w:lineRule="auto"/>
              <w:jc w:val="both"/>
              <w:rPr>
                <w:rFonts w:cstheme="minorHAnsi"/>
                <w:sz w:val="24"/>
                <w:szCs w:val="24"/>
              </w:rPr>
            </w:pPr>
            <w:r>
              <w:rPr>
                <w:rFonts w:cstheme="minorHAnsi"/>
                <w:sz w:val="24"/>
                <w:szCs w:val="24"/>
              </w:rPr>
              <w:t>prvi tjedan u listopadu</w:t>
            </w:r>
          </w:p>
        </w:tc>
      </w:tr>
      <w:tr w14:paraId="502E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CF80220">
            <w:pPr>
              <w:tabs>
                <w:tab w:val="center" w:pos="4680"/>
              </w:tabs>
              <w:spacing w:after="0" w:line="276" w:lineRule="auto"/>
              <w:jc w:val="both"/>
              <w:rPr>
                <w:rFonts w:cstheme="minorHAnsi"/>
                <w:b/>
                <w:bCs/>
                <w:sz w:val="24"/>
                <w:szCs w:val="24"/>
              </w:rPr>
            </w:pPr>
            <w:r>
              <w:rPr>
                <w:rFonts w:cstheme="minorHAnsi"/>
                <w:sz w:val="24"/>
                <w:szCs w:val="24"/>
              </w:rPr>
              <w:t xml:space="preserve">Međunarodni dan djevojčica </w:t>
            </w:r>
          </w:p>
        </w:tc>
        <w:tc>
          <w:tcPr>
            <w:tcW w:w="3259" w:type="dxa"/>
          </w:tcPr>
          <w:p w14:paraId="21763DD3">
            <w:pPr>
              <w:tabs>
                <w:tab w:val="center" w:pos="4680"/>
              </w:tabs>
              <w:spacing w:after="0" w:line="276" w:lineRule="auto"/>
              <w:jc w:val="both"/>
              <w:rPr>
                <w:rFonts w:cstheme="minorHAnsi"/>
                <w:sz w:val="24"/>
                <w:szCs w:val="24"/>
              </w:rPr>
            </w:pPr>
            <w:r>
              <w:rPr>
                <w:rFonts w:cstheme="minorHAnsi"/>
                <w:sz w:val="24"/>
                <w:szCs w:val="24"/>
              </w:rPr>
              <w:t>11. 10.</w:t>
            </w:r>
          </w:p>
        </w:tc>
      </w:tr>
      <w:tr w14:paraId="44A7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389A367">
            <w:pPr>
              <w:tabs>
                <w:tab w:val="center" w:pos="4680"/>
              </w:tabs>
              <w:spacing w:after="0" w:line="276" w:lineRule="auto"/>
              <w:jc w:val="both"/>
              <w:rPr>
                <w:rFonts w:cstheme="minorHAnsi"/>
                <w:b/>
                <w:bCs/>
                <w:sz w:val="24"/>
                <w:szCs w:val="24"/>
              </w:rPr>
            </w:pPr>
            <w:r>
              <w:rPr>
                <w:rFonts w:cstheme="minorHAnsi"/>
                <w:sz w:val="24"/>
                <w:szCs w:val="24"/>
              </w:rPr>
              <w:t>Svjetski dan hrane</w:t>
            </w:r>
          </w:p>
        </w:tc>
        <w:tc>
          <w:tcPr>
            <w:tcW w:w="3259" w:type="dxa"/>
          </w:tcPr>
          <w:p w14:paraId="724E65E1">
            <w:pPr>
              <w:tabs>
                <w:tab w:val="center" w:pos="4680"/>
              </w:tabs>
              <w:spacing w:after="0" w:line="276" w:lineRule="auto"/>
              <w:jc w:val="both"/>
              <w:rPr>
                <w:rFonts w:cstheme="minorHAnsi"/>
                <w:sz w:val="24"/>
                <w:szCs w:val="24"/>
              </w:rPr>
            </w:pPr>
            <w:r>
              <w:rPr>
                <w:rFonts w:cstheme="minorHAnsi"/>
                <w:sz w:val="24"/>
                <w:szCs w:val="24"/>
              </w:rPr>
              <w:t>16. 10.</w:t>
            </w:r>
          </w:p>
        </w:tc>
      </w:tr>
      <w:tr w14:paraId="20AA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4946154">
            <w:pPr>
              <w:tabs>
                <w:tab w:val="center" w:pos="4680"/>
              </w:tabs>
              <w:spacing w:after="0" w:line="276" w:lineRule="auto"/>
              <w:jc w:val="both"/>
              <w:rPr>
                <w:rFonts w:cstheme="minorHAnsi"/>
                <w:b/>
                <w:bCs/>
                <w:sz w:val="24"/>
                <w:szCs w:val="24"/>
              </w:rPr>
            </w:pPr>
            <w:r>
              <w:rPr>
                <w:rFonts w:cstheme="minorHAnsi"/>
                <w:sz w:val="24"/>
                <w:szCs w:val="24"/>
              </w:rPr>
              <w:t>Dani kruha i zahvalnosti za plodove zemlje</w:t>
            </w:r>
          </w:p>
        </w:tc>
        <w:tc>
          <w:tcPr>
            <w:tcW w:w="3259" w:type="dxa"/>
          </w:tcPr>
          <w:p w14:paraId="2B66C542">
            <w:pPr>
              <w:tabs>
                <w:tab w:val="center" w:pos="4680"/>
              </w:tabs>
              <w:spacing w:after="0" w:line="276" w:lineRule="auto"/>
              <w:jc w:val="both"/>
              <w:rPr>
                <w:rFonts w:cstheme="minorHAnsi"/>
                <w:sz w:val="24"/>
                <w:szCs w:val="24"/>
              </w:rPr>
            </w:pPr>
            <w:r>
              <w:rPr>
                <w:rFonts w:cstheme="minorHAnsi"/>
                <w:sz w:val="24"/>
                <w:szCs w:val="24"/>
              </w:rPr>
              <w:t>17. 10.</w:t>
            </w:r>
          </w:p>
        </w:tc>
      </w:tr>
      <w:tr w14:paraId="0233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F11CB72">
            <w:pPr>
              <w:tabs>
                <w:tab w:val="center" w:pos="4680"/>
              </w:tabs>
              <w:spacing w:after="0" w:line="276" w:lineRule="auto"/>
              <w:jc w:val="both"/>
              <w:rPr>
                <w:rFonts w:cstheme="minorHAnsi"/>
                <w:b/>
                <w:bCs/>
                <w:sz w:val="24"/>
                <w:szCs w:val="24"/>
              </w:rPr>
            </w:pPr>
            <w:r>
              <w:rPr>
                <w:rFonts w:cstheme="minorHAnsi"/>
                <w:sz w:val="24"/>
                <w:szCs w:val="24"/>
              </w:rPr>
              <w:t xml:space="preserve">Dan jabuka </w:t>
            </w:r>
          </w:p>
        </w:tc>
        <w:tc>
          <w:tcPr>
            <w:tcW w:w="3259" w:type="dxa"/>
          </w:tcPr>
          <w:p w14:paraId="28B6A710">
            <w:pPr>
              <w:tabs>
                <w:tab w:val="center" w:pos="4680"/>
              </w:tabs>
              <w:spacing w:after="0" w:line="276" w:lineRule="auto"/>
              <w:jc w:val="both"/>
              <w:rPr>
                <w:rFonts w:cstheme="minorHAnsi"/>
                <w:sz w:val="24"/>
                <w:szCs w:val="24"/>
              </w:rPr>
            </w:pPr>
            <w:r>
              <w:rPr>
                <w:rFonts w:cstheme="minorHAnsi"/>
                <w:sz w:val="24"/>
                <w:szCs w:val="24"/>
              </w:rPr>
              <w:t>20. 10.</w:t>
            </w:r>
          </w:p>
        </w:tc>
      </w:tr>
      <w:tr w14:paraId="61E4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900A568">
            <w:pPr>
              <w:tabs>
                <w:tab w:val="center" w:pos="4680"/>
              </w:tabs>
              <w:spacing w:after="0" w:line="276" w:lineRule="auto"/>
              <w:jc w:val="both"/>
              <w:rPr>
                <w:rFonts w:cstheme="minorHAnsi"/>
                <w:b/>
                <w:bCs/>
                <w:sz w:val="24"/>
                <w:szCs w:val="24"/>
              </w:rPr>
            </w:pPr>
            <w:r>
              <w:rPr>
                <w:rFonts w:cstheme="minorHAnsi"/>
                <w:sz w:val="24"/>
                <w:szCs w:val="24"/>
              </w:rPr>
              <w:t>Mjesec knjige</w:t>
            </w:r>
          </w:p>
        </w:tc>
        <w:tc>
          <w:tcPr>
            <w:tcW w:w="3259" w:type="dxa"/>
          </w:tcPr>
          <w:p w14:paraId="48D65768">
            <w:pPr>
              <w:tabs>
                <w:tab w:val="center" w:pos="4680"/>
              </w:tabs>
              <w:spacing w:after="0" w:line="276" w:lineRule="auto"/>
              <w:jc w:val="both"/>
              <w:rPr>
                <w:rFonts w:cstheme="minorHAnsi"/>
                <w:sz w:val="24"/>
                <w:szCs w:val="24"/>
              </w:rPr>
            </w:pPr>
            <w:r>
              <w:rPr>
                <w:rFonts w:cstheme="minorHAnsi"/>
                <w:sz w:val="24"/>
                <w:szCs w:val="24"/>
              </w:rPr>
              <w:t>15. 10. – 15. 11.</w:t>
            </w:r>
          </w:p>
        </w:tc>
      </w:tr>
      <w:tr w14:paraId="68D5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04BA6477">
            <w:pPr>
              <w:tabs>
                <w:tab w:val="center" w:pos="4680"/>
              </w:tabs>
              <w:spacing w:after="0" w:line="276" w:lineRule="auto"/>
              <w:jc w:val="both"/>
              <w:rPr>
                <w:rFonts w:cstheme="minorHAnsi"/>
                <w:b/>
                <w:bCs/>
                <w:sz w:val="24"/>
                <w:szCs w:val="24"/>
              </w:rPr>
            </w:pPr>
            <w:r>
              <w:rPr>
                <w:rFonts w:cstheme="minorHAnsi"/>
                <w:sz w:val="24"/>
                <w:szCs w:val="24"/>
              </w:rPr>
              <w:t>Međunarodni dan štednje</w:t>
            </w:r>
          </w:p>
        </w:tc>
        <w:tc>
          <w:tcPr>
            <w:tcW w:w="3259" w:type="dxa"/>
          </w:tcPr>
          <w:p w14:paraId="7DACCA32">
            <w:pPr>
              <w:tabs>
                <w:tab w:val="center" w:pos="4680"/>
              </w:tabs>
              <w:spacing w:after="0" w:line="276" w:lineRule="auto"/>
              <w:jc w:val="both"/>
              <w:rPr>
                <w:rFonts w:cstheme="minorHAnsi"/>
                <w:sz w:val="24"/>
                <w:szCs w:val="24"/>
              </w:rPr>
            </w:pPr>
            <w:r>
              <w:rPr>
                <w:rFonts w:cstheme="minorHAnsi"/>
                <w:sz w:val="24"/>
                <w:szCs w:val="24"/>
              </w:rPr>
              <w:t>31. 10.</w:t>
            </w:r>
          </w:p>
        </w:tc>
      </w:tr>
      <w:tr w14:paraId="3977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F9A4D11">
            <w:pPr>
              <w:tabs>
                <w:tab w:val="center" w:pos="4680"/>
              </w:tabs>
              <w:spacing w:after="0" w:line="276" w:lineRule="auto"/>
              <w:jc w:val="both"/>
              <w:rPr>
                <w:rFonts w:cstheme="minorHAnsi"/>
                <w:b/>
                <w:bCs/>
                <w:sz w:val="24"/>
                <w:szCs w:val="24"/>
              </w:rPr>
            </w:pPr>
            <w:r>
              <w:rPr>
                <w:rFonts w:cstheme="minorHAnsi"/>
                <w:sz w:val="24"/>
                <w:szCs w:val="24"/>
              </w:rPr>
              <w:t xml:space="preserve">Svi Sveti </w:t>
            </w:r>
          </w:p>
        </w:tc>
        <w:tc>
          <w:tcPr>
            <w:tcW w:w="3259" w:type="dxa"/>
          </w:tcPr>
          <w:p w14:paraId="0D8B70ED">
            <w:pPr>
              <w:tabs>
                <w:tab w:val="center" w:pos="4680"/>
              </w:tabs>
              <w:spacing w:after="0" w:line="276" w:lineRule="auto"/>
              <w:jc w:val="both"/>
              <w:rPr>
                <w:rFonts w:cstheme="minorHAnsi"/>
                <w:sz w:val="24"/>
                <w:szCs w:val="24"/>
              </w:rPr>
            </w:pPr>
            <w:r>
              <w:rPr>
                <w:rFonts w:cstheme="minorHAnsi"/>
                <w:sz w:val="24"/>
                <w:szCs w:val="24"/>
              </w:rPr>
              <w:t>1. 11.</w:t>
            </w:r>
          </w:p>
        </w:tc>
      </w:tr>
      <w:tr w14:paraId="3B99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926B6A0">
            <w:pPr>
              <w:tabs>
                <w:tab w:val="center" w:pos="4680"/>
              </w:tabs>
              <w:spacing w:after="0" w:line="276" w:lineRule="auto"/>
              <w:jc w:val="both"/>
              <w:rPr>
                <w:rFonts w:cstheme="minorHAnsi"/>
                <w:b/>
                <w:bCs/>
                <w:sz w:val="24"/>
                <w:szCs w:val="24"/>
              </w:rPr>
            </w:pPr>
            <w:r>
              <w:rPr>
                <w:rFonts w:cstheme="minorHAnsi"/>
                <w:sz w:val="24"/>
                <w:szCs w:val="24"/>
              </w:rPr>
              <w:t>Svjetski dan izumitelja</w:t>
            </w:r>
          </w:p>
        </w:tc>
        <w:tc>
          <w:tcPr>
            <w:tcW w:w="3259" w:type="dxa"/>
          </w:tcPr>
          <w:p w14:paraId="6D38EAEB">
            <w:pPr>
              <w:tabs>
                <w:tab w:val="center" w:pos="4680"/>
              </w:tabs>
              <w:spacing w:after="0" w:line="276" w:lineRule="auto"/>
              <w:jc w:val="both"/>
              <w:rPr>
                <w:rFonts w:cstheme="minorHAnsi"/>
                <w:sz w:val="24"/>
                <w:szCs w:val="24"/>
              </w:rPr>
            </w:pPr>
            <w:r>
              <w:rPr>
                <w:rFonts w:cstheme="minorHAnsi"/>
                <w:sz w:val="24"/>
                <w:szCs w:val="24"/>
              </w:rPr>
              <w:t>9. 11.</w:t>
            </w:r>
          </w:p>
        </w:tc>
      </w:tr>
      <w:tr w14:paraId="287D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7E9C0115">
            <w:pPr>
              <w:tabs>
                <w:tab w:val="center" w:pos="4680"/>
              </w:tabs>
              <w:spacing w:after="0" w:line="276" w:lineRule="auto"/>
              <w:jc w:val="both"/>
              <w:rPr>
                <w:rFonts w:cstheme="minorHAnsi"/>
                <w:b/>
                <w:bCs/>
                <w:sz w:val="24"/>
                <w:szCs w:val="24"/>
              </w:rPr>
            </w:pPr>
            <w:r>
              <w:rPr>
                <w:rFonts w:cstheme="minorHAnsi"/>
                <w:sz w:val="24"/>
                <w:szCs w:val="24"/>
              </w:rPr>
              <w:t>Dan ljubaznosti</w:t>
            </w:r>
          </w:p>
        </w:tc>
        <w:tc>
          <w:tcPr>
            <w:tcW w:w="3259" w:type="dxa"/>
          </w:tcPr>
          <w:p w14:paraId="41E27A5D">
            <w:pPr>
              <w:tabs>
                <w:tab w:val="center" w:pos="4680"/>
              </w:tabs>
              <w:spacing w:after="0" w:line="276" w:lineRule="auto"/>
              <w:jc w:val="both"/>
              <w:rPr>
                <w:rFonts w:cstheme="minorHAnsi"/>
                <w:sz w:val="24"/>
                <w:szCs w:val="24"/>
              </w:rPr>
            </w:pPr>
            <w:r>
              <w:rPr>
                <w:rFonts w:cstheme="minorHAnsi"/>
                <w:sz w:val="24"/>
                <w:szCs w:val="24"/>
              </w:rPr>
              <w:t>13. 11.</w:t>
            </w:r>
          </w:p>
        </w:tc>
      </w:tr>
      <w:tr w14:paraId="639E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4208935">
            <w:pPr>
              <w:tabs>
                <w:tab w:val="center" w:pos="4680"/>
              </w:tabs>
              <w:spacing w:after="0" w:line="276" w:lineRule="auto"/>
              <w:jc w:val="both"/>
              <w:rPr>
                <w:rFonts w:cstheme="minorHAnsi"/>
                <w:b/>
                <w:bCs/>
                <w:sz w:val="24"/>
                <w:szCs w:val="24"/>
              </w:rPr>
            </w:pPr>
            <w:r>
              <w:rPr>
                <w:rFonts w:cstheme="minorHAnsi"/>
                <w:sz w:val="24"/>
                <w:szCs w:val="24"/>
              </w:rPr>
              <w:t>Međunarodni dan tolerancije</w:t>
            </w:r>
          </w:p>
        </w:tc>
        <w:tc>
          <w:tcPr>
            <w:tcW w:w="3259" w:type="dxa"/>
          </w:tcPr>
          <w:p w14:paraId="4F3C9EA1">
            <w:pPr>
              <w:tabs>
                <w:tab w:val="center" w:pos="4680"/>
              </w:tabs>
              <w:spacing w:after="0" w:line="276" w:lineRule="auto"/>
              <w:jc w:val="both"/>
              <w:rPr>
                <w:rFonts w:cstheme="minorHAnsi"/>
                <w:sz w:val="24"/>
                <w:szCs w:val="24"/>
              </w:rPr>
            </w:pPr>
            <w:r>
              <w:rPr>
                <w:rFonts w:cstheme="minorHAnsi"/>
                <w:sz w:val="24"/>
                <w:szCs w:val="24"/>
              </w:rPr>
              <w:t>16. 11.</w:t>
            </w:r>
          </w:p>
        </w:tc>
      </w:tr>
      <w:tr w14:paraId="03A2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E07A681">
            <w:pPr>
              <w:tabs>
                <w:tab w:val="center" w:pos="4680"/>
              </w:tabs>
              <w:spacing w:after="0" w:line="276" w:lineRule="auto"/>
              <w:jc w:val="both"/>
              <w:rPr>
                <w:rFonts w:cstheme="minorHAnsi"/>
                <w:b/>
                <w:bCs/>
                <w:sz w:val="24"/>
                <w:szCs w:val="24"/>
              </w:rPr>
            </w:pPr>
            <w:r>
              <w:rPr>
                <w:rFonts w:cstheme="minorHAnsi"/>
                <w:sz w:val="24"/>
                <w:szCs w:val="24"/>
              </w:rPr>
              <w:t>Međunarodni dan borbe protiv nasilja nad djecom</w:t>
            </w:r>
          </w:p>
        </w:tc>
        <w:tc>
          <w:tcPr>
            <w:tcW w:w="3259" w:type="dxa"/>
          </w:tcPr>
          <w:p w14:paraId="168B9369">
            <w:pPr>
              <w:tabs>
                <w:tab w:val="center" w:pos="4680"/>
              </w:tabs>
              <w:spacing w:after="0" w:line="276" w:lineRule="auto"/>
              <w:jc w:val="both"/>
              <w:rPr>
                <w:rFonts w:cstheme="minorHAnsi"/>
                <w:sz w:val="24"/>
                <w:szCs w:val="24"/>
              </w:rPr>
            </w:pPr>
            <w:r>
              <w:rPr>
                <w:rFonts w:cstheme="minorHAnsi"/>
                <w:sz w:val="24"/>
                <w:szCs w:val="24"/>
              </w:rPr>
              <w:t>19. 11.</w:t>
            </w:r>
          </w:p>
        </w:tc>
      </w:tr>
      <w:tr w14:paraId="5040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80DAF13">
            <w:pPr>
              <w:tabs>
                <w:tab w:val="center" w:pos="4680"/>
              </w:tabs>
              <w:spacing w:after="0" w:line="276" w:lineRule="auto"/>
              <w:jc w:val="both"/>
              <w:rPr>
                <w:rFonts w:cstheme="minorHAnsi"/>
                <w:b/>
                <w:bCs/>
                <w:sz w:val="24"/>
                <w:szCs w:val="24"/>
              </w:rPr>
            </w:pPr>
            <w:r>
              <w:rPr>
                <w:rFonts w:cstheme="minorHAnsi"/>
                <w:sz w:val="24"/>
                <w:szCs w:val="24"/>
              </w:rPr>
              <w:t>Međunarodni dan dječjih prava</w:t>
            </w:r>
          </w:p>
        </w:tc>
        <w:tc>
          <w:tcPr>
            <w:tcW w:w="3259" w:type="dxa"/>
          </w:tcPr>
          <w:p w14:paraId="6002388D">
            <w:pPr>
              <w:tabs>
                <w:tab w:val="center" w:pos="4680"/>
              </w:tabs>
              <w:spacing w:after="0" w:line="276" w:lineRule="auto"/>
              <w:jc w:val="both"/>
              <w:rPr>
                <w:rFonts w:cstheme="minorHAnsi"/>
                <w:sz w:val="24"/>
                <w:szCs w:val="24"/>
              </w:rPr>
            </w:pPr>
            <w:r>
              <w:rPr>
                <w:rFonts w:cstheme="minorHAnsi"/>
                <w:sz w:val="24"/>
                <w:szCs w:val="24"/>
              </w:rPr>
              <w:t>20. 11.</w:t>
            </w:r>
          </w:p>
        </w:tc>
      </w:tr>
      <w:tr w14:paraId="446A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373C84C">
            <w:pPr>
              <w:tabs>
                <w:tab w:val="center" w:pos="4680"/>
              </w:tabs>
              <w:spacing w:after="0" w:line="276" w:lineRule="auto"/>
              <w:jc w:val="both"/>
              <w:rPr>
                <w:rFonts w:cstheme="minorHAnsi"/>
                <w:b/>
                <w:bCs/>
                <w:sz w:val="24"/>
                <w:szCs w:val="24"/>
              </w:rPr>
            </w:pPr>
            <w:r>
              <w:rPr>
                <w:rFonts w:cstheme="minorHAnsi"/>
                <w:sz w:val="24"/>
                <w:szCs w:val="24"/>
              </w:rPr>
              <w:t>Međunarodni dan osoba s invaliditetom</w:t>
            </w:r>
          </w:p>
        </w:tc>
        <w:tc>
          <w:tcPr>
            <w:tcW w:w="3259" w:type="dxa"/>
          </w:tcPr>
          <w:p w14:paraId="1BD7E4A0">
            <w:pPr>
              <w:tabs>
                <w:tab w:val="center" w:pos="4680"/>
              </w:tabs>
              <w:spacing w:after="0" w:line="276" w:lineRule="auto"/>
              <w:jc w:val="both"/>
              <w:rPr>
                <w:rFonts w:cstheme="minorHAnsi"/>
                <w:sz w:val="24"/>
                <w:szCs w:val="24"/>
              </w:rPr>
            </w:pPr>
            <w:r>
              <w:rPr>
                <w:rFonts w:cstheme="minorHAnsi"/>
                <w:sz w:val="24"/>
                <w:szCs w:val="24"/>
              </w:rPr>
              <w:t>3. 12.</w:t>
            </w:r>
          </w:p>
        </w:tc>
      </w:tr>
      <w:tr w14:paraId="1FDE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9840E5F">
            <w:pPr>
              <w:tabs>
                <w:tab w:val="center" w:pos="4680"/>
              </w:tabs>
              <w:spacing w:after="0" w:line="276" w:lineRule="auto"/>
              <w:jc w:val="both"/>
              <w:rPr>
                <w:rFonts w:cstheme="minorHAnsi"/>
                <w:b/>
                <w:bCs/>
                <w:sz w:val="24"/>
                <w:szCs w:val="24"/>
              </w:rPr>
            </w:pPr>
            <w:r>
              <w:rPr>
                <w:rFonts w:cstheme="minorHAnsi"/>
                <w:sz w:val="24"/>
                <w:szCs w:val="24"/>
              </w:rPr>
              <w:t>Sveti Nikola</w:t>
            </w:r>
          </w:p>
        </w:tc>
        <w:tc>
          <w:tcPr>
            <w:tcW w:w="3259" w:type="dxa"/>
          </w:tcPr>
          <w:p w14:paraId="6A281C9D">
            <w:pPr>
              <w:tabs>
                <w:tab w:val="center" w:pos="4680"/>
              </w:tabs>
              <w:spacing w:after="0" w:line="276" w:lineRule="auto"/>
              <w:jc w:val="both"/>
              <w:rPr>
                <w:rFonts w:cstheme="minorHAnsi"/>
                <w:sz w:val="24"/>
                <w:szCs w:val="24"/>
              </w:rPr>
            </w:pPr>
            <w:r>
              <w:rPr>
                <w:rFonts w:cstheme="minorHAnsi"/>
                <w:sz w:val="24"/>
                <w:szCs w:val="24"/>
              </w:rPr>
              <w:t>6. 12.</w:t>
            </w:r>
          </w:p>
        </w:tc>
      </w:tr>
      <w:tr w14:paraId="2D48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3B80F480">
            <w:pPr>
              <w:tabs>
                <w:tab w:val="center" w:pos="4680"/>
              </w:tabs>
              <w:spacing w:after="0" w:line="276" w:lineRule="auto"/>
              <w:jc w:val="both"/>
              <w:rPr>
                <w:rFonts w:cstheme="minorHAnsi"/>
                <w:b/>
                <w:bCs/>
                <w:sz w:val="24"/>
                <w:szCs w:val="24"/>
              </w:rPr>
            </w:pPr>
            <w:r>
              <w:rPr>
                <w:rFonts w:cstheme="minorHAnsi"/>
                <w:sz w:val="24"/>
                <w:szCs w:val="24"/>
              </w:rPr>
              <w:t>Dan ljudskih prava</w:t>
            </w:r>
          </w:p>
        </w:tc>
        <w:tc>
          <w:tcPr>
            <w:tcW w:w="3259" w:type="dxa"/>
          </w:tcPr>
          <w:p w14:paraId="5D309EC7">
            <w:pPr>
              <w:tabs>
                <w:tab w:val="center" w:pos="4680"/>
              </w:tabs>
              <w:spacing w:after="0" w:line="276" w:lineRule="auto"/>
              <w:jc w:val="both"/>
              <w:rPr>
                <w:rFonts w:cstheme="minorHAnsi"/>
                <w:sz w:val="24"/>
                <w:szCs w:val="24"/>
              </w:rPr>
            </w:pPr>
            <w:r>
              <w:rPr>
                <w:rFonts w:cstheme="minorHAnsi"/>
                <w:sz w:val="24"/>
                <w:szCs w:val="24"/>
              </w:rPr>
              <w:t>10. 12.</w:t>
            </w:r>
          </w:p>
        </w:tc>
      </w:tr>
      <w:tr w14:paraId="790F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06839F9">
            <w:pPr>
              <w:tabs>
                <w:tab w:val="center" w:pos="4680"/>
              </w:tabs>
              <w:spacing w:after="0" w:line="276" w:lineRule="auto"/>
              <w:jc w:val="both"/>
              <w:rPr>
                <w:rFonts w:cstheme="minorHAnsi"/>
                <w:b/>
                <w:bCs/>
                <w:sz w:val="24"/>
                <w:szCs w:val="24"/>
              </w:rPr>
            </w:pPr>
            <w:r>
              <w:rPr>
                <w:rFonts w:cstheme="minorHAnsi"/>
                <w:sz w:val="24"/>
                <w:szCs w:val="24"/>
              </w:rPr>
              <w:t xml:space="preserve">Prvi dan zime </w:t>
            </w:r>
          </w:p>
        </w:tc>
        <w:tc>
          <w:tcPr>
            <w:tcW w:w="3259" w:type="dxa"/>
          </w:tcPr>
          <w:p w14:paraId="7984DC98">
            <w:pPr>
              <w:tabs>
                <w:tab w:val="center" w:pos="4680"/>
              </w:tabs>
              <w:spacing w:after="0" w:line="276" w:lineRule="auto"/>
              <w:jc w:val="both"/>
              <w:rPr>
                <w:rFonts w:cstheme="minorHAnsi"/>
                <w:sz w:val="24"/>
                <w:szCs w:val="24"/>
              </w:rPr>
            </w:pPr>
            <w:r>
              <w:rPr>
                <w:rFonts w:cstheme="minorHAnsi"/>
                <w:sz w:val="24"/>
                <w:szCs w:val="24"/>
              </w:rPr>
              <w:t>21. 12.</w:t>
            </w:r>
          </w:p>
        </w:tc>
      </w:tr>
      <w:tr w14:paraId="6917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BD017A1">
            <w:pPr>
              <w:tabs>
                <w:tab w:val="center" w:pos="4680"/>
              </w:tabs>
              <w:spacing w:after="0" w:line="276" w:lineRule="auto"/>
              <w:jc w:val="both"/>
              <w:rPr>
                <w:rFonts w:cstheme="minorHAnsi"/>
                <w:b/>
                <w:bCs/>
                <w:sz w:val="24"/>
                <w:szCs w:val="24"/>
              </w:rPr>
            </w:pPr>
            <w:r>
              <w:rPr>
                <w:rFonts w:cstheme="minorHAnsi"/>
                <w:sz w:val="24"/>
                <w:szCs w:val="24"/>
              </w:rPr>
              <w:t>Božić</w:t>
            </w:r>
          </w:p>
        </w:tc>
        <w:tc>
          <w:tcPr>
            <w:tcW w:w="3259" w:type="dxa"/>
          </w:tcPr>
          <w:p w14:paraId="2927709A">
            <w:pPr>
              <w:tabs>
                <w:tab w:val="center" w:pos="4680"/>
              </w:tabs>
              <w:spacing w:after="0" w:line="276" w:lineRule="auto"/>
              <w:jc w:val="both"/>
              <w:rPr>
                <w:rFonts w:cstheme="minorHAnsi"/>
                <w:sz w:val="24"/>
                <w:szCs w:val="24"/>
              </w:rPr>
            </w:pPr>
            <w:r>
              <w:rPr>
                <w:rFonts w:cstheme="minorHAnsi"/>
                <w:sz w:val="24"/>
                <w:szCs w:val="24"/>
              </w:rPr>
              <w:t>25. 12.</w:t>
            </w:r>
          </w:p>
        </w:tc>
      </w:tr>
      <w:tr w14:paraId="3144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982FFE6">
            <w:pPr>
              <w:tabs>
                <w:tab w:val="center" w:pos="4680"/>
              </w:tabs>
              <w:spacing w:after="0" w:line="276" w:lineRule="auto"/>
              <w:jc w:val="both"/>
              <w:rPr>
                <w:rFonts w:cstheme="minorHAnsi"/>
                <w:b/>
                <w:bCs/>
                <w:sz w:val="24"/>
                <w:szCs w:val="24"/>
              </w:rPr>
            </w:pPr>
            <w:r>
              <w:rPr>
                <w:rFonts w:cstheme="minorHAnsi"/>
                <w:sz w:val="24"/>
                <w:szCs w:val="24"/>
              </w:rPr>
              <w:t>Svjetski dan smijeha</w:t>
            </w:r>
          </w:p>
        </w:tc>
        <w:tc>
          <w:tcPr>
            <w:tcW w:w="3259" w:type="dxa"/>
          </w:tcPr>
          <w:p w14:paraId="419FF9F0">
            <w:pPr>
              <w:tabs>
                <w:tab w:val="center" w:pos="4680"/>
              </w:tabs>
              <w:spacing w:after="0" w:line="276" w:lineRule="auto"/>
              <w:jc w:val="both"/>
              <w:rPr>
                <w:rFonts w:cstheme="minorHAnsi"/>
                <w:sz w:val="24"/>
                <w:szCs w:val="24"/>
              </w:rPr>
            </w:pPr>
            <w:r>
              <w:rPr>
                <w:rFonts w:cstheme="minorHAnsi"/>
                <w:sz w:val="24"/>
                <w:szCs w:val="24"/>
              </w:rPr>
              <w:t>10. 1.</w:t>
            </w:r>
          </w:p>
        </w:tc>
      </w:tr>
      <w:tr w14:paraId="30DD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248F9D16">
            <w:pPr>
              <w:tabs>
                <w:tab w:val="center" w:pos="4680"/>
              </w:tabs>
              <w:spacing w:after="0" w:line="276" w:lineRule="auto"/>
              <w:jc w:val="both"/>
              <w:rPr>
                <w:rFonts w:cstheme="minorHAnsi"/>
                <w:b/>
                <w:bCs/>
                <w:sz w:val="24"/>
                <w:szCs w:val="24"/>
              </w:rPr>
            </w:pPr>
            <w:r>
              <w:rPr>
                <w:rFonts w:cstheme="minorHAnsi"/>
                <w:sz w:val="24"/>
                <w:szCs w:val="24"/>
              </w:rPr>
              <w:t>Međunarodni dan zagrljaja</w:t>
            </w:r>
          </w:p>
        </w:tc>
        <w:tc>
          <w:tcPr>
            <w:tcW w:w="3259" w:type="dxa"/>
          </w:tcPr>
          <w:p w14:paraId="348A1894">
            <w:pPr>
              <w:tabs>
                <w:tab w:val="center" w:pos="4680"/>
              </w:tabs>
              <w:spacing w:after="0" w:line="276" w:lineRule="auto"/>
              <w:jc w:val="both"/>
              <w:rPr>
                <w:rFonts w:cstheme="minorHAnsi"/>
                <w:sz w:val="24"/>
                <w:szCs w:val="24"/>
              </w:rPr>
            </w:pPr>
            <w:r>
              <w:rPr>
                <w:rFonts w:cstheme="minorHAnsi"/>
                <w:sz w:val="24"/>
                <w:szCs w:val="24"/>
              </w:rPr>
              <w:t>21. 1.</w:t>
            </w:r>
          </w:p>
        </w:tc>
      </w:tr>
      <w:tr w14:paraId="2A82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4520B996">
            <w:pPr>
              <w:tabs>
                <w:tab w:val="center" w:pos="4680"/>
              </w:tabs>
              <w:spacing w:after="0" w:line="276" w:lineRule="auto"/>
              <w:jc w:val="both"/>
              <w:rPr>
                <w:rFonts w:cstheme="minorHAnsi"/>
                <w:b/>
                <w:bCs/>
                <w:sz w:val="24"/>
                <w:szCs w:val="24"/>
              </w:rPr>
            </w:pPr>
            <w:r>
              <w:rPr>
                <w:rFonts w:cstheme="minorHAnsi"/>
                <w:sz w:val="24"/>
                <w:szCs w:val="24"/>
              </w:rPr>
              <w:t>Valentinovo</w:t>
            </w:r>
          </w:p>
        </w:tc>
        <w:tc>
          <w:tcPr>
            <w:tcW w:w="3259" w:type="dxa"/>
          </w:tcPr>
          <w:p w14:paraId="137C818B">
            <w:pPr>
              <w:tabs>
                <w:tab w:val="center" w:pos="4680"/>
              </w:tabs>
              <w:spacing w:after="0" w:line="276" w:lineRule="auto"/>
              <w:jc w:val="both"/>
              <w:rPr>
                <w:rFonts w:cstheme="minorHAnsi"/>
                <w:sz w:val="24"/>
                <w:szCs w:val="24"/>
              </w:rPr>
            </w:pPr>
            <w:r>
              <w:rPr>
                <w:rFonts w:cstheme="minorHAnsi"/>
                <w:sz w:val="24"/>
                <w:szCs w:val="24"/>
              </w:rPr>
              <w:t>14. 2.</w:t>
            </w:r>
          </w:p>
        </w:tc>
      </w:tr>
      <w:tr w14:paraId="400A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6D01CFB">
            <w:pPr>
              <w:tabs>
                <w:tab w:val="center" w:pos="4680"/>
              </w:tabs>
              <w:spacing w:after="0" w:line="276" w:lineRule="auto"/>
              <w:jc w:val="both"/>
              <w:rPr>
                <w:rFonts w:cstheme="minorHAnsi"/>
                <w:b/>
                <w:bCs/>
                <w:sz w:val="24"/>
                <w:szCs w:val="24"/>
              </w:rPr>
            </w:pPr>
            <w:r>
              <w:rPr>
                <w:rFonts w:cstheme="minorHAnsi"/>
                <w:sz w:val="24"/>
                <w:szCs w:val="24"/>
              </w:rPr>
              <w:t>Međunarodni dan materinjeg jezika</w:t>
            </w:r>
          </w:p>
        </w:tc>
        <w:tc>
          <w:tcPr>
            <w:tcW w:w="3259" w:type="dxa"/>
          </w:tcPr>
          <w:p w14:paraId="58F4BD2C">
            <w:pPr>
              <w:tabs>
                <w:tab w:val="center" w:pos="4680"/>
              </w:tabs>
              <w:spacing w:after="0" w:line="276" w:lineRule="auto"/>
              <w:jc w:val="both"/>
              <w:rPr>
                <w:rFonts w:cstheme="minorHAnsi"/>
                <w:sz w:val="24"/>
                <w:szCs w:val="24"/>
              </w:rPr>
            </w:pPr>
            <w:r>
              <w:rPr>
                <w:rFonts w:cstheme="minorHAnsi"/>
                <w:sz w:val="24"/>
                <w:szCs w:val="24"/>
              </w:rPr>
              <w:t>21. 2.</w:t>
            </w:r>
          </w:p>
        </w:tc>
      </w:tr>
      <w:tr w14:paraId="2AAA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5FBC566D">
            <w:pPr>
              <w:tabs>
                <w:tab w:val="center" w:pos="4680"/>
              </w:tabs>
              <w:spacing w:after="0" w:line="276" w:lineRule="auto"/>
              <w:jc w:val="both"/>
              <w:rPr>
                <w:rFonts w:cstheme="minorHAnsi"/>
                <w:b/>
                <w:bCs/>
                <w:sz w:val="24"/>
                <w:szCs w:val="24"/>
              </w:rPr>
            </w:pPr>
            <w:r>
              <w:rPr>
                <w:rFonts w:cstheme="minorHAnsi"/>
                <w:sz w:val="24"/>
                <w:szCs w:val="24"/>
              </w:rPr>
              <w:t xml:space="preserve">Fašnik </w:t>
            </w:r>
          </w:p>
        </w:tc>
        <w:tc>
          <w:tcPr>
            <w:tcW w:w="3259" w:type="dxa"/>
          </w:tcPr>
          <w:p w14:paraId="574C717B">
            <w:pPr>
              <w:tabs>
                <w:tab w:val="center" w:pos="4680"/>
              </w:tabs>
              <w:spacing w:after="0" w:line="276" w:lineRule="auto"/>
              <w:jc w:val="both"/>
              <w:rPr>
                <w:rFonts w:cstheme="minorHAnsi"/>
                <w:sz w:val="24"/>
                <w:szCs w:val="24"/>
              </w:rPr>
            </w:pPr>
            <w:r>
              <w:rPr>
                <w:rFonts w:cstheme="minorHAnsi"/>
                <w:sz w:val="24"/>
                <w:szCs w:val="24"/>
              </w:rPr>
              <w:t>veljača</w:t>
            </w:r>
          </w:p>
        </w:tc>
      </w:tr>
      <w:tr w14:paraId="71AF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70C7FE8">
            <w:pPr>
              <w:tabs>
                <w:tab w:val="center" w:pos="4680"/>
              </w:tabs>
              <w:spacing w:after="0" w:line="276" w:lineRule="auto"/>
              <w:jc w:val="both"/>
              <w:rPr>
                <w:rFonts w:cstheme="minorHAnsi"/>
                <w:b/>
                <w:bCs/>
                <w:sz w:val="24"/>
                <w:szCs w:val="24"/>
              </w:rPr>
            </w:pPr>
            <w:r>
              <w:rPr>
                <w:rFonts w:cstheme="minorHAnsi"/>
                <w:sz w:val="24"/>
                <w:szCs w:val="24"/>
              </w:rPr>
              <w:t>Međunarodni dan žena</w:t>
            </w:r>
          </w:p>
        </w:tc>
        <w:tc>
          <w:tcPr>
            <w:tcW w:w="3259" w:type="dxa"/>
          </w:tcPr>
          <w:p w14:paraId="6593C9BC">
            <w:pPr>
              <w:tabs>
                <w:tab w:val="center" w:pos="4680"/>
              </w:tabs>
              <w:spacing w:after="0" w:line="276" w:lineRule="auto"/>
              <w:jc w:val="both"/>
              <w:rPr>
                <w:rFonts w:cstheme="minorHAnsi"/>
                <w:sz w:val="24"/>
                <w:szCs w:val="24"/>
              </w:rPr>
            </w:pPr>
            <w:r>
              <w:rPr>
                <w:rFonts w:cstheme="minorHAnsi"/>
                <w:sz w:val="24"/>
                <w:szCs w:val="24"/>
              </w:rPr>
              <w:t>08. 3.</w:t>
            </w:r>
          </w:p>
        </w:tc>
      </w:tr>
      <w:tr w14:paraId="1649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672DA2A3">
            <w:pPr>
              <w:tabs>
                <w:tab w:val="center" w:pos="4680"/>
              </w:tabs>
              <w:spacing w:after="0" w:line="276" w:lineRule="auto"/>
              <w:jc w:val="both"/>
              <w:rPr>
                <w:rFonts w:cstheme="minorHAnsi"/>
                <w:b/>
                <w:bCs/>
                <w:sz w:val="24"/>
                <w:szCs w:val="24"/>
              </w:rPr>
            </w:pPr>
            <w:r>
              <w:rPr>
                <w:rFonts w:cstheme="minorHAnsi"/>
                <w:sz w:val="24"/>
                <w:szCs w:val="24"/>
              </w:rPr>
              <w:t>Dan očeva</w:t>
            </w:r>
          </w:p>
        </w:tc>
        <w:tc>
          <w:tcPr>
            <w:tcW w:w="3259" w:type="dxa"/>
          </w:tcPr>
          <w:p w14:paraId="5CC54086">
            <w:pPr>
              <w:tabs>
                <w:tab w:val="center" w:pos="4680"/>
              </w:tabs>
              <w:spacing w:after="0" w:line="276" w:lineRule="auto"/>
              <w:jc w:val="both"/>
              <w:rPr>
                <w:rFonts w:cstheme="minorHAnsi"/>
                <w:sz w:val="24"/>
                <w:szCs w:val="24"/>
              </w:rPr>
            </w:pPr>
            <w:r>
              <w:rPr>
                <w:rFonts w:cstheme="minorHAnsi"/>
                <w:sz w:val="24"/>
                <w:szCs w:val="24"/>
              </w:rPr>
              <w:t>19. 3.</w:t>
            </w:r>
          </w:p>
        </w:tc>
      </w:tr>
      <w:tr w14:paraId="0632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14:paraId="10FA90F3">
            <w:pPr>
              <w:tabs>
                <w:tab w:val="center" w:pos="4680"/>
              </w:tabs>
              <w:spacing w:after="0" w:line="276" w:lineRule="auto"/>
              <w:jc w:val="both"/>
              <w:rPr>
                <w:rFonts w:cstheme="minorHAnsi"/>
                <w:b/>
                <w:bCs/>
                <w:sz w:val="24"/>
                <w:szCs w:val="24"/>
              </w:rPr>
            </w:pPr>
            <w:r>
              <w:rPr>
                <w:rFonts w:cstheme="minorHAnsi"/>
                <w:sz w:val="24"/>
                <w:szCs w:val="24"/>
              </w:rPr>
              <w:t xml:space="preserve">Svjetski dan oralnog zdravlja </w:t>
            </w:r>
          </w:p>
        </w:tc>
        <w:tc>
          <w:tcPr>
            <w:tcW w:w="3259" w:type="dxa"/>
          </w:tcPr>
          <w:p w14:paraId="77976608">
            <w:pPr>
              <w:tabs>
                <w:tab w:val="center" w:pos="4680"/>
              </w:tabs>
              <w:spacing w:after="0" w:line="276" w:lineRule="auto"/>
              <w:jc w:val="both"/>
              <w:rPr>
                <w:rFonts w:cstheme="minorHAnsi"/>
                <w:sz w:val="24"/>
                <w:szCs w:val="24"/>
              </w:rPr>
            </w:pPr>
            <w:r>
              <w:rPr>
                <w:rFonts w:cstheme="minorHAnsi"/>
                <w:sz w:val="24"/>
                <w:szCs w:val="24"/>
              </w:rPr>
              <w:t>20. 3.</w:t>
            </w:r>
          </w:p>
        </w:tc>
      </w:tr>
    </w:tbl>
    <w:p w14:paraId="63F9AD98">
      <w:pPr>
        <w:tabs>
          <w:tab w:val="center" w:pos="4680"/>
        </w:tabs>
        <w:spacing w:line="276" w:lineRule="auto"/>
        <w:jc w:val="both"/>
        <w:rPr>
          <w:rFonts w:cstheme="minorHAnsi"/>
          <w:sz w:val="24"/>
          <w:szCs w:val="24"/>
        </w:rPr>
      </w:pPr>
    </w:p>
    <w:p w14:paraId="5DC008D8">
      <w:pPr>
        <w:tabs>
          <w:tab w:val="center" w:pos="4680"/>
        </w:tabs>
        <w:spacing w:line="276" w:lineRule="auto"/>
        <w:jc w:val="both"/>
        <w:rPr>
          <w:rFonts w:cstheme="minorHAnsi"/>
          <w:sz w:val="24"/>
          <w:szCs w:val="24"/>
        </w:rPr>
      </w:pPr>
      <w:r>
        <w:rPr>
          <w:rFonts w:cstheme="minorHAnsi"/>
          <w:sz w:val="24"/>
          <w:szCs w:val="24"/>
        </w:rPr>
        <w:t xml:space="preserve">Ovaj Kurikul objavljen je na oglasnoj ploči i mrežnoj stranici Vrtića. </w:t>
      </w:r>
    </w:p>
    <w:p w14:paraId="29EB2C4B">
      <w:pPr>
        <w:tabs>
          <w:tab w:val="center" w:pos="4680"/>
        </w:tabs>
        <w:spacing w:line="276" w:lineRule="auto"/>
        <w:jc w:val="both"/>
        <w:rPr>
          <w:rFonts w:cstheme="minorHAnsi"/>
          <w:sz w:val="24"/>
          <w:szCs w:val="24"/>
        </w:rPr>
      </w:pPr>
    </w:p>
    <w:p w14:paraId="11A54EA8">
      <w:pPr>
        <w:spacing w:after="0" w:line="276" w:lineRule="auto"/>
        <w:rPr>
          <w:rFonts w:hint="default" w:eastAsia="Times New Roman" w:cstheme="minorHAnsi"/>
          <w:sz w:val="24"/>
          <w:szCs w:val="24"/>
          <w:lang w:val="hr-HR" w:eastAsia="hr-HR"/>
        </w:rPr>
      </w:pPr>
      <w:r>
        <w:rPr>
          <w:rFonts w:eastAsia="Times New Roman" w:cstheme="minorHAnsi"/>
          <w:sz w:val="24"/>
          <w:szCs w:val="24"/>
          <w:lang w:eastAsia="hr-HR"/>
        </w:rPr>
        <w:t>KLASA:</w:t>
      </w:r>
      <w:r>
        <w:rPr>
          <w:rFonts w:hint="default" w:eastAsia="Times New Roman" w:cstheme="minorHAnsi"/>
          <w:sz w:val="24"/>
          <w:szCs w:val="24"/>
          <w:lang w:val="en-US" w:eastAsia="hr-HR"/>
        </w:rPr>
        <w:t xml:space="preserve"> </w:t>
      </w:r>
      <w:r>
        <w:rPr>
          <w:rFonts w:ascii="SimSun" w:hAnsi="SimSun" w:eastAsia="SimSun" w:cs="SimSun"/>
          <w:sz w:val="24"/>
          <w:szCs w:val="24"/>
        </w:rPr>
        <w:t>601-01/26-02/</w:t>
      </w:r>
      <w:r>
        <w:rPr>
          <w:rFonts w:hint="default" w:ascii="SimSun" w:hAnsi="SimSun" w:eastAsia="SimSun" w:cs="SimSun"/>
          <w:sz w:val="24"/>
          <w:szCs w:val="24"/>
          <w:lang w:val="hr-HR"/>
        </w:rPr>
        <w:t>08</w:t>
      </w:r>
    </w:p>
    <w:p w14:paraId="0DC74472">
      <w:pPr>
        <w:spacing w:after="0" w:line="276" w:lineRule="auto"/>
        <w:rPr>
          <w:rFonts w:hint="default" w:eastAsia="Times New Roman" w:cstheme="minorHAnsi"/>
          <w:sz w:val="24"/>
          <w:szCs w:val="24"/>
          <w:lang w:val="hr-HR" w:eastAsia="hr-HR"/>
        </w:rPr>
      </w:pPr>
      <w:r>
        <w:rPr>
          <w:rFonts w:eastAsia="Times New Roman" w:cstheme="minorHAnsi"/>
          <w:sz w:val="24"/>
          <w:szCs w:val="24"/>
          <w:lang w:eastAsia="hr-HR"/>
        </w:rPr>
        <w:t xml:space="preserve">URBROJ: </w:t>
      </w:r>
      <w:r>
        <w:rPr>
          <w:rFonts w:hint="default" w:eastAsia="Times New Roman" w:cstheme="minorHAnsi"/>
          <w:sz w:val="24"/>
          <w:szCs w:val="24"/>
          <w:lang w:val="en-US" w:eastAsia="hr-HR"/>
        </w:rPr>
        <w:t xml:space="preserve"> </w:t>
      </w:r>
      <w:r>
        <w:rPr>
          <w:rFonts w:ascii="SimSun" w:hAnsi="SimSun" w:eastAsia="SimSun" w:cs="SimSun"/>
          <w:sz w:val="24"/>
          <w:szCs w:val="24"/>
        </w:rPr>
        <w:t>2109-26-1-02-26-</w:t>
      </w:r>
      <w:r>
        <w:rPr>
          <w:rFonts w:hint="default" w:ascii="SimSun" w:hAnsi="SimSun" w:eastAsia="SimSun" w:cs="SimSun"/>
          <w:sz w:val="24"/>
          <w:szCs w:val="24"/>
          <w:lang w:val="hr-HR"/>
        </w:rPr>
        <w:t>1</w:t>
      </w:r>
      <w:bookmarkStart w:id="0" w:name="_GoBack"/>
      <w:bookmarkEnd w:id="0"/>
    </w:p>
    <w:p w14:paraId="309992D8">
      <w:pPr>
        <w:spacing w:after="0" w:line="276" w:lineRule="auto"/>
        <w:rPr>
          <w:rFonts w:eastAsia="Times New Roman" w:cstheme="minorHAnsi"/>
          <w:sz w:val="24"/>
          <w:szCs w:val="24"/>
          <w:lang w:eastAsia="hr-HR"/>
        </w:rPr>
      </w:pPr>
      <w:r>
        <w:rPr>
          <w:rFonts w:eastAsia="Times New Roman" w:cstheme="minorHAnsi"/>
          <w:sz w:val="24"/>
          <w:szCs w:val="24"/>
          <w:lang w:eastAsia="hr-HR"/>
        </w:rPr>
        <w:t>Pribislavec, 23. srpnja 2026. godine</w:t>
      </w:r>
    </w:p>
    <w:p w14:paraId="0EA3429C">
      <w:pPr>
        <w:spacing w:before="100" w:beforeAutospacing="1" w:after="100" w:afterAutospacing="1"/>
        <w:jc w:val="right"/>
        <w:rPr>
          <w:rFonts w:ascii="Calibri" w:hAnsi="Calibri" w:eastAsia="Calibri" w:cs="Calibri"/>
          <w:sz w:val="24"/>
          <w:szCs w:val="24"/>
        </w:rPr>
      </w:pPr>
      <w:r>
        <w:rPr>
          <w:rFonts w:ascii="Calibri" w:hAnsi="Calibri" w:eastAsia="Calibri" w:cs="Calibri"/>
          <w:sz w:val="24"/>
          <w:szCs w:val="24"/>
        </w:rPr>
        <w:drawing>
          <wp:anchor distT="0" distB="0" distL="114300" distR="114300" simplePos="0" relativeHeight="251659264" behindDoc="0" locked="0" layoutInCell="1" allowOverlap="1">
            <wp:simplePos x="0" y="0"/>
            <wp:positionH relativeFrom="column">
              <wp:posOffset>4622800</wp:posOffset>
            </wp:positionH>
            <wp:positionV relativeFrom="paragraph">
              <wp:posOffset>800735</wp:posOffset>
            </wp:positionV>
            <wp:extent cx="1123950" cy="5410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23950" cy="541020"/>
                    </a:xfrm>
                    <a:prstGeom prst="rect">
                      <a:avLst/>
                    </a:prstGeom>
                    <a:noFill/>
                  </pic:spPr>
                </pic:pic>
              </a:graphicData>
            </a:graphic>
          </wp:anchor>
        </w:drawing>
      </w:r>
      <w:r>
        <w:rPr>
          <w:rFonts w:ascii="Calibri" w:hAnsi="Calibri" w:eastAsia="Calibri" w:cs="Calibri"/>
          <w:b/>
          <w:bCs/>
          <w:sz w:val="24"/>
          <w:szCs w:val="24"/>
        </w:rPr>
        <w:t>PREDSJEDNICA UPRAVNOG VIJEĆA</w:t>
      </w:r>
      <w:r>
        <w:rPr>
          <w:rFonts w:ascii="Calibri" w:hAnsi="Calibri" w:eastAsia="Calibri" w:cs="Calibri"/>
          <w:sz w:val="24"/>
          <w:szCs w:val="24"/>
        </w:rPr>
        <w:t xml:space="preserve"> </w:t>
      </w:r>
      <w:r>
        <w:rPr>
          <w:rFonts w:ascii="Calibri" w:hAnsi="Calibri" w:cs="Calibri"/>
          <w:sz w:val="24"/>
          <w:szCs w:val="24"/>
        </w:rPr>
        <w:br w:type="textWrapping"/>
      </w:r>
      <w:r>
        <w:rPr>
          <w:rFonts w:ascii="Calibri" w:hAnsi="Calibri" w:eastAsia="Calibri" w:cs="Calibri"/>
          <w:sz w:val="24"/>
          <w:szCs w:val="24"/>
        </w:rPr>
        <w:t>Dječjeg vrtića „Magnolija“</w:t>
      </w:r>
    </w:p>
    <w:p w14:paraId="283F21DB">
      <w:pPr>
        <w:spacing w:before="100" w:beforeAutospacing="1" w:after="100" w:afterAutospacing="1"/>
        <w:jc w:val="right"/>
        <w:rPr>
          <w:rFonts w:ascii="Calibri" w:hAnsi="Calibri" w:eastAsia="Calibri" w:cs="Calibri"/>
          <w:sz w:val="24"/>
          <w:szCs w:val="24"/>
        </w:rPr>
      </w:pPr>
      <w:r>
        <w:rPr>
          <w:rFonts w:ascii="Calibri" w:hAnsi="Calibri" w:eastAsia="Calibri" w:cs="Calibri"/>
          <w:sz w:val="24"/>
          <w:szCs w:val="24"/>
        </w:rPr>
        <w:t>____________________</w:t>
      </w:r>
      <w:r>
        <w:rPr>
          <w:rFonts w:ascii="Calibri" w:hAnsi="Calibri" w:eastAsia="Calibri" w:cs="Calibri"/>
          <w:sz w:val="24"/>
          <w:szCs w:val="24"/>
        </w:rPr>
        <w:br w:type="textWrapping"/>
      </w:r>
      <w:r>
        <w:rPr>
          <w:rFonts w:ascii="Calibri" w:hAnsi="Calibri" w:eastAsia="Calibri" w:cs="Calibri"/>
          <w:sz w:val="24"/>
          <w:szCs w:val="24"/>
        </w:rPr>
        <w:t>doc. dr. sc. Dina Korent</w:t>
      </w:r>
    </w:p>
    <w:p w14:paraId="526E7C48">
      <w:pPr>
        <w:spacing w:line="276" w:lineRule="auto"/>
        <w:jc w:val="right"/>
        <w:rPr>
          <w:rFonts w:cstheme="minorHAnsi"/>
          <w:b/>
          <w:bCs/>
          <w:sz w:val="24"/>
          <w:szCs w:val="24"/>
        </w:rPr>
      </w:pPr>
    </w:p>
    <w:p w14:paraId="19029777">
      <w:pPr>
        <w:spacing w:line="276" w:lineRule="auto"/>
        <w:jc w:val="right"/>
        <w:rPr>
          <w:rFonts w:cstheme="minorHAnsi"/>
          <w:sz w:val="24"/>
          <w:szCs w:val="24"/>
        </w:rPr>
      </w:pPr>
      <w:r>
        <w:rPr>
          <w:rFonts w:cstheme="minorHAnsi"/>
          <w:b/>
          <w:bCs/>
          <w:sz w:val="24"/>
          <w:szCs w:val="24"/>
        </w:rPr>
        <w:t>RAVNATELJICA</w:t>
      </w:r>
      <w:r>
        <w:rPr>
          <w:rFonts w:cstheme="minorHAnsi"/>
          <w:sz w:val="24"/>
          <w:szCs w:val="24"/>
        </w:rPr>
        <w:t xml:space="preserve">  </w:t>
      </w:r>
      <w:r>
        <w:rPr>
          <w:rFonts w:cstheme="minorHAnsi"/>
          <w:sz w:val="24"/>
          <w:szCs w:val="24"/>
        </w:rPr>
        <w:br w:type="textWrapping"/>
      </w:r>
      <w:r>
        <w:rPr>
          <w:rFonts w:cstheme="minorHAnsi"/>
          <w:sz w:val="24"/>
          <w:szCs w:val="24"/>
        </w:rPr>
        <w:t xml:space="preserve">Dječjeg vrtića „Magnolija“ </w:t>
      </w:r>
    </w:p>
    <w:p w14:paraId="13797FF5">
      <w:pPr>
        <w:spacing w:after="0" w:line="276" w:lineRule="auto"/>
        <w:jc w:val="right"/>
        <w:rPr>
          <w:rFonts w:cstheme="minorHAnsi"/>
          <w:sz w:val="24"/>
          <w:szCs w:val="24"/>
        </w:rPr>
      </w:pPr>
      <w:r>
        <w:rPr>
          <w:rFonts w:cstheme="minorHAnsi"/>
          <w:sz w:val="24"/>
          <w:szCs w:val="24"/>
        </w:rPr>
        <w:drawing>
          <wp:inline distT="0" distB="0" distL="0" distR="0">
            <wp:extent cx="1591945" cy="62928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13714" cy="638151"/>
                    </a:xfrm>
                    <a:prstGeom prst="rect">
                      <a:avLst/>
                    </a:prstGeom>
                  </pic:spPr>
                </pic:pic>
              </a:graphicData>
            </a:graphic>
          </wp:inline>
        </w:drawing>
      </w:r>
    </w:p>
    <w:p w14:paraId="372E97AC">
      <w:pPr>
        <w:spacing w:after="0" w:line="276" w:lineRule="auto"/>
        <w:jc w:val="right"/>
        <w:rPr>
          <w:rFonts w:cstheme="minorHAnsi"/>
          <w:sz w:val="24"/>
          <w:szCs w:val="24"/>
        </w:rPr>
      </w:pPr>
      <w:r>
        <w:rPr>
          <w:rFonts w:cstheme="minorHAnsi"/>
          <w:sz w:val="24"/>
          <w:szCs w:val="24"/>
        </w:rPr>
        <w:t>______________________________</w:t>
      </w:r>
    </w:p>
    <w:p w14:paraId="117D67C5">
      <w:pPr>
        <w:spacing w:line="276" w:lineRule="auto"/>
        <w:jc w:val="right"/>
        <w:rPr>
          <w:rFonts w:cstheme="minorHAnsi"/>
          <w:sz w:val="24"/>
          <w:szCs w:val="24"/>
        </w:rPr>
      </w:pPr>
      <w:r>
        <w:rPr>
          <w:rFonts w:cstheme="minorHAnsi"/>
          <w:sz w:val="24"/>
          <w:szCs w:val="24"/>
        </w:rPr>
        <w:t>Dina Barić Baksa, bacc. praesc. educ.</w:t>
      </w:r>
      <w:r>
        <w:rPr>
          <w:rFonts w:cstheme="minorHAnsi"/>
        </w:rPr>
        <w:t xml:space="preserve"> </w:t>
      </w:r>
    </w:p>
    <w:p w14:paraId="517DAD90">
      <w:pPr>
        <w:spacing w:line="276" w:lineRule="auto"/>
        <w:jc w:val="right"/>
        <w:rPr>
          <w:rFonts w:cstheme="minorHAnsi"/>
          <w:sz w:val="24"/>
          <w:szCs w:val="24"/>
        </w:rPr>
      </w:pPr>
      <w:r>
        <w:rPr>
          <w:rFonts w:cstheme="minorHAnsi"/>
          <w:sz w:val="24"/>
          <w:szCs w:val="24"/>
        </w:rPr>
        <w:t>.</w:t>
      </w:r>
      <w:r>
        <w:rPr>
          <w:rFonts w:cstheme="minorHAnsi"/>
        </w:rPr>
        <w:t xml:space="preserve"> </w:t>
      </w:r>
    </w:p>
    <w:p w14:paraId="41FC445C">
      <w:pPr>
        <w:spacing w:before="100" w:beforeAutospacing="1" w:after="100" w:afterAutospacing="1" w:line="276" w:lineRule="auto"/>
        <w:jc w:val="right"/>
        <w:rPr>
          <w:rFonts w:cstheme="minorHAnsi"/>
          <w:sz w:val="24"/>
          <w:szCs w:val="24"/>
        </w:rPr>
      </w:pPr>
    </w:p>
    <w:sectPr>
      <w:pgSz w:w="12240" w:h="15840"/>
      <w:pgMar w:top="1440" w:right="1440" w:bottom="1440" w:left="1440" w:header="708" w:footer="708"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7957623"/>
      <w:docPartObj>
        <w:docPartGallery w:val="AutoText"/>
      </w:docPartObj>
    </w:sdtPr>
    <w:sdtContent>
      <w:p w14:paraId="34B6A9C4">
        <w:pPr>
          <w:pStyle w:val="17"/>
          <w:jc w:val="right"/>
        </w:pPr>
        <w:r>
          <w:fldChar w:fldCharType="begin"/>
        </w:r>
        <w:r>
          <w:instrText xml:space="preserve">PAGE   \* MERGEFORMAT</w:instrText>
        </w:r>
        <w:r>
          <w:fldChar w:fldCharType="separate"/>
        </w:r>
        <w:r>
          <w:t>2</w:t>
        </w:r>
        <w:r>
          <w:fldChar w:fldCharType="end"/>
        </w:r>
      </w:p>
    </w:sdtContent>
  </w:sdt>
  <w:p w14:paraId="584DC10E">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E04FA"/>
    <w:multiLevelType w:val="multilevel"/>
    <w:tmpl w:val="002E04F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11538D2"/>
    <w:multiLevelType w:val="multilevel"/>
    <w:tmpl w:val="011538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4F72CFD"/>
    <w:multiLevelType w:val="multilevel"/>
    <w:tmpl w:val="04F72C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07475CEF"/>
    <w:multiLevelType w:val="multilevel"/>
    <w:tmpl w:val="07475CE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0F7D53FF"/>
    <w:multiLevelType w:val="multilevel"/>
    <w:tmpl w:val="0F7D53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8436CD6"/>
    <w:multiLevelType w:val="multilevel"/>
    <w:tmpl w:val="18436CD6"/>
    <w:lvl w:ilvl="0" w:tentative="0">
      <w:start w:val="1"/>
      <w:numFmt w:val="bullet"/>
      <w:lvlText w:val=""/>
      <w:lvlJc w:val="left"/>
      <w:pPr>
        <w:ind w:left="360" w:hanging="360"/>
      </w:pPr>
      <w:rPr>
        <w:rFonts w:hint="default" w:ascii="Symbol" w:hAnsi="Symbol"/>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18F10C8F"/>
    <w:multiLevelType w:val="multilevel"/>
    <w:tmpl w:val="18F10C8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1FA54169"/>
    <w:multiLevelType w:val="multilevel"/>
    <w:tmpl w:val="1FA541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3601074C"/>
    <w:multiLevelType w:val="multilevel"/>
    <w:tmpl w:val="3601074C"/>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6" w:hanging="576"/>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2" w:hanging="1152"/>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4" w:hanging="1584"/>
      </w:pPr>
      <w:rPr>
        <w:rFonts w:hint="default"/>
      </w:rPr>
    </w:lvl>
  </w:abstractNum>
  <w:abstractNum w:abstractNumId="9">
    <w:nsid w:val="372B3E8F"/>
    <w:multiLevelType w:val="multilevel"/>
    <w:tmpl w:val="372B3E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93A2C36"/>
    <w:multiLevelType w:val="multilevel"/>
    <w:tmpl w:val="393A2C3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3D4656DC"/>
    <w:multiLevelType w:val="multilevel"/>
    <w:tmpl w:val="3D4656D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FEB60DB"/>
    <w:multiLevelType w:val="multilevel"/>
    <w:tmpl w:val="3FEB60D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39A4088"/>
    <w:multiLevelType w:val="multilevel"/>
    <w:tmpl w:val="439A408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439E57B5"/>
    <w:multiLevelType w:val="multilevel"/>
    <w:tmpl w:val="439E57B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D697896"/>
    <w:multiLevelType w:val="multilevel"/>
    <w:tmpl w:val="4D69789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FC97212"/>
    <w:multiLevelType w:val="multilevel"/>
    <w:tmpl w:val="5FC9721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5610A20"/>
    <w:multiLevelType w:val="multilevel"/>
    <w:tmpl w:val="65610A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6D0D4FB3"/>
    <w:multiLevelType w:val="multilevel"/>
    <w:tmpl w:val="6D0D4FB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79A80560"/>
    <w:multiLevelType w:val="multilevel"/>
    <w:tmpl w:val="79A8056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7B077DCC"/>
    <w:multiLevelType w:val="multilevel"/>
    <w:tmpl w:val="7B077DCC"/>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7F250E93"/>
    <w:multiLevelType w:val="multilevel"/>
    <w:tmpl w:val="7F250E9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8"/>
  </w:num>
  <w:num w:numId="2">
    <w:abstractNumId w:val="16"/>
  </w:num>
  <w:num w:numId="3">
    <w:abstractNumId w:val="11"/>
  </w:num>
  <w:num w:numId="4">
    <w:abstractNumId w:val="9"/>
  </w:num>
  <w:num w:numId="5">
    <w:abstractNumId w:val="18"/>
  </w:num>
  <w:num w:numId="6">
    <w:abstractNumId w:val="19"/>
  </w:num>
  <w:num w:numId="7">
    <w:abstractNumId w:val="12"/>
  </w:num>
  <w:num w:numId="8">
    <w:abstractNumId w:val="21"/>
  </w:num>
  <w:num w:numId="9">
    <w:abstractNumId w:val="3"/>
  </w:num>
  <w:num w:numId="10">
    <w:abstractNumId w:val="4"/>
  </w:num>
  <w:num w:numId="11">
    <w:abstractNumId w:val="14"/>
  </w:num>
  <w:num w:numId="12">
    <w:abstractNumId w:val="15"/>
  </w:num>
  <w:num w:numId="13">
    <w:abstractNumId w:val="1"/>
  </w:num>
  <w:num w:numId="14">
    <w:abstractNumId w:val="13"/>
  </w:num>
  <w:num w:numId="15">
    <w:abstractNumId w:val="0"/>
  </w:num>
  <w:num w:numId="16">
    <w:abstractNumId w:val="5"/>
  </w:num>
  <w:num w:numId="17">
    <w:abstractNumId w:val="20"/>
  </w:num>
  <w:num w:numId="18">
    <w:abstractNumId w:val="10"/>
  </w:num>
  <w:num w:numId="19">
    <w:abstractNumId w:val="7"/>
  </w:num>
  <w:num w:numId="20">
    <w:abstractNumId w:val="6"/>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6D7"/>
    <w:rsid w:val="0003458C"/>
    <w:rsid w:val="0003568B"/>
    <w:rsid w:val="00053B9D"/>
    <w:rsid w:val="000A3FA6"/>
    <w:rsid w:val="000A6421"/>
    <w:rsid w:val="000C4F25"/>
    <w:rsid w:val="000C571E"/>
    <w:rsid w:val="00100DBA"/>
    <w:rsid w:val="00126998"/>
    <w:rsid w:val="00160BAE"/>
    <w:rsid w:val="0016112D"/>
    <w:rsid w:val="00162A7B"/>
    <w:rsid w:val="00172A27"/>
    <w:rsid w:val="00181915"/>
    <w:rsid w:val="001823AC"/>
    <w:rsid w:val="00187BD1"/>
    <w:rsid w:val="00196234"/>
    <w:rsid w:val="001B0CB4"/>
    <w:rsid w:val="001B4851"/>
    <w:rsid w:val="001C0819"/>
    <w:rsid w:val="00247CBB"/>
    <w:rsid w:val="002710D4"/>
    <w:rsid w:val="00275C0D"/>
    <w:rsid w:val="00283FCC"/>
    <w:rsid w:val="00295DBF"/>
    <w:rsid w:val="002965A0"/>
    <w:rsid w:val="002D4D85"/>
    <w:rsid w:val="002D60F8"/>
    <w:rsid w:val="002D6907"/>
    <w:rsid w:val="002E20AB"/>
    <w:rsid w:val="00301B96"/>
    <w:rsid w:val="00303B0E"/>
    <w:rsid w:val="00321829"/>
    <w:rsid w:val="00326E11"/>
    <w:rsid w:val="00334277"/>
    <w:rsid w:val="00337045"/>
    <w:rsid w:val="00341A5A"/>
    <w:rsid w:val="003469C8"/>
    <w:rsid w:val="00361597"/>
    <w:rsid w:val="00365717"/>
    <w:rsid w:val="00382AC8"/>
    <w:rsid w:val="00385828"/>
    <w:rsid w:val="003B368C"/>
    <w:rsid w:val="003B4166"/>
    <w:rsid w:val="003B5AA8"/>
    <w:rsid w:val="003E7149"/>
    <w:rsid w:val="003F1B2C"/>
    <w:rsid w:val="003F3702"/>
    <w:rsid w:val="004312C3"/>
    <w:rsid w:val="004313D5"/>
    <w:rsid w:val="00443CC5"/>
    <w:rsid w:val="00450743"/>
    <w:rsid w:val="00456212"/>
    <w:rsid w:val="0046366C"/>
    <w:rsid w:val="00475B10"/>
    <w:rsid w:val="00493FA0"/>
    <w:rsid w:val="00497526"/>
    <w:rsid w:val="004A211D"/>
    <w:rsid w:val="004A7E9D"/>
    <w:rsid w:val="004B7C23"/>
    <w:rsid w:val="004E1925"/>
    <w:rsid w:val="004E71B0"/>
    <w:rsid w:val="00522558"/>
    <w:rsid w:val="00532A15"/>
    <w:rsid w:val="00553B6E"/>
    <w:rsid w:val="00565766"/>
    <w:rsid w:val="00566584"/>
    <w:rsid w:val="005671D9"/>
    <w:rsid w:val="005731E1"/>
    <w:rsid w:val="00575949"/>
    <w:rsid w:val="0058431D"/>
    <w:rsid w:val="005C570F"/>
    <w:rsid w:val="005D3189"/>
    <w:rsid w:val="005D6913"/>
    <w:rsid w:val="005F06AE"/>
    <w:rsid w:val="005F3E19"/>
    <w:rsid w:val="00604EEB"/>
    <w:rsid w:val="006168BE"/>
    <w:rsid w:val="00633650"/>
    <w:rsid w:val="00652C84"/>
    <w:rsid w:val="00662E84"/>
    <w:rsid w:val="00693B08"/>
    <w:rsid w:val="006B56EE"/>
    <w:rsid w:val="006D1DEA"/>
    <w:rsid w:val="006E161F"/>
    <w:rsid w:val="006F3C82"/>
    <w:rsid w:val="00714BEB"/>
    <w:rsid w:val="00724671"/>
    <w:rsid w:val="00730AFF"/>
    <w:rsid w:val="007378D3"/>
    <w:rsid w:val="00743A52"/>
    <w:rsid w:val="00754202"/>
    <w:rsid w:val="00766988"/>
    <w:rsid w:val="007672C2"/>
    <w:rsid w:val="007720B2"/>
    <w:rsid w:val="007745C1"/>
    <w:rsid w:val="007A3336"/>
    <w:rsid w:val="007B351C"/>
    <w:rsid w:val="007B646D"/>
    <w:rsid w:val="007D7926"/>
    <w:rsid w:val="007E461D"/>
    <w:rsid w:val="007E61F4"/>
    <w:rsid w:val="007F4FEC"/>
    <w:rsid w:val="00806F1D"/>
    <w:rsid w:val="00833C1B"/>
    <w:rsid w:val="0086547B"/>
    <w:rsid w:val="00865FE0"/>
    <w:rsid w:val="008663DE"/>
    <w:rsid w:val="008777E2"/>
    <w:rsid w:val="00882CDC"/>
    <w:rsid w:val="00891215"/>
    <w:rsid w:val="008B6D3F"/>
    <w:rsid w:val="008C08B5"/>
    <w:rsid w:val="008C1359"/>
    <w:rsid w:val="008C2CFF"/>
    <w:rsid w:val="008C2EF4"/>
    <w:rsid w:val="008C6809"/>
    <w:rsid w:val="008D400E"/>
    <w:rsid w:val="008E60CC"/>
    <w:rsid w:val="008F4945"/>
    <w:rsid w:val="009204DF"/>
    <w:rsid w:val="00946C66"/>
    <w:rsid w:val="00966C06"/>
    <w:rsid w:val="00990E27"/>
    <w:rsid w:val="009A5327"/>
    <w:rsid w:val="009C6741"/>
    <w:rsid w:val="009F0FD8"/>
    <w:rsid w:val="00A156D7"/>
    <w:rsid w:val="00A244C3"/>
    <w:rsid w:val="00A50740"/>
    <w:rsid w:val="00A64694"/>
    <w:rsid w:val="00A745ED"/>
    <w:rsid w:val="00A75479"/>
    <w:rsid w:val="00A76E86"/>
    <w:rsid w:val="00AA3657"/>
    <w:rsid w:val="00AA3D52"/>
    <w:rsid w:val="00AA643C"/>
    <w:rsid w:val="00AD64DF"/>
    <w:rsid w:val="00AF0E72"/>
    <w:rsid w:val="00AF6990"/>
    <w:rsid w:val="00B015A7"/>
    <w:rsid w:val="00B208EC"/>
    <w:rsid w:val="00B2716A"/>
    <w:rsid w:val="00B44015"/>
    <w:rsid w:val="00B45932"/>
    <w:rsid w:val="00B53048"/>
    <w:rsid w:val="00B5347A"/>
    <w:rsid w:val="00B63D91"/>
    <w:rsid w:val="00B729C8"/>
    <w:rsid w:val="00B81626"/>
    <w:rsid w:val="00BA35F5"/>
    <w:rsid w:val="00BA7F45"/>
    <w:rsid w:val="00BC2848"/>
    <w:rsid w:val="00BC3A30"/>
    <w:rsid w:val="00BE6788"/>
    <w:rsid w:val="00BF31D8"/>
    <w:rsid w:val="00BF7FB5"/>
    <w:rsid w:val="00C3115B"/>
    <w:rsid w:val="00C532DD"/>
    <w:rsid w:val="00C5337B"/>
    <w:rsid w:val="00C6404C"/>
    <w:rsid w:val="00C94036"/>
    <w:rsid w:val="00CA0AA4"/>
    <w:rsid w:val="00CB591E"/>
    <w:rsid w:val="00CB7340"/>
    <w:rsid w:val="00CC7D7F"/>
    <w:rsid w:val="00CD53E7"/>
    <w:rsid w:val="00CF3D41"/>
    <w:rsid w:val="00CF5915"/>
    <w:rsid w:val="00D04F1C"/>
    <w:rsid w:val="00D14DFE"/>
    <w:rsid w:val="00D17D87"/>
    <w:rsid w:val="00D203C5"/>
    <w:rsid w:val="00D23270"/>
    <w:rsid w:val="00D37EB9"/>
    <w:rsid w:val="00D4281D"/>
    <w:rsid w:val="00D84726"/>
    <w:rsid w:val="00D9131E"/>
    <w:rsid w:val="00DA4C1A"/>
    <w:rsid w:val="00DA5F47"/>
    <w:rsid w:val="00DA697A"/>
    <w:rsid w:val="00DA72CA"/>
    <w:rsid w:val="00DB1821"/>
    <w:rsid w:val="00DD37E0"/>
    <w:rsid w:val="00DD65F1"/>
    <w:rsid w:val="00DE6566"/>
    <w:rsid w:val="00E14DBA"/>
    <w:rsid w:val="00E26DF2"/>
    <w:rsid w:val="00E45304"/>
    <w:rsid w:val="00E53CB7"/>
    <w:rsid w:val="00E64EE3"/>
    <w:rsid w:val="00E70659"/>
    <w:rsid w:val="00E76CEA"/>
    <w:rsid w:val="00E8675B"/>
    <w:rsid w:val="00EB4C88"/>
    <w:rsid w:val="00EB57D9"/>
    <w:rsid w:val="00ED132E"/>
    <w:rsid w:val="00EE0046"/>
    <w:rsid w:val="00EE0DE4"/>
    <w:rsid w:val="00EE50C5"/>
    <w:rsid w:val="00EE5138"/>
    <w:rsid w:val="00F01A13"/>
    <w:rsid w:val="00F04238"/>
    <w:rsid w:val="00F12C0D"/>
    <w:rsid w:val="00F25026"/>
    <w:rsid w:val="00F52426"/>
    <w:rsid w:val="00FB2DC6"/>
    <w:rsid w:val="00FC081D"/>
    <w:rsid w:val="00FC571E"/>
    <w:rsid w:val="00FD4389"/>
    <w:rsid w:val="00FF493D"/>
    <w:rsid w:val="075E6053"/>
    <w:rsid w:val="0C484C62"/>
    <w:rsid w:val="17394802"/>
    <w:rsid w:val="19C91E06"/>
    <w:rsid w:val="213F6E00"/>
    <w:rsid w:val="27290EE6"/>
    <w:rsid w:val="2A827F15"/>
    <w:rsid w:val="345C047A"/>
    <w:rsid w:val="3D9E1EE2"/>
    <w:rsid w:val="49690737"/>
    <w:rsid w:val="537609D7"/>
    <w:rsid w:val="55004559"/>
    <w:rsid w:val="551650C8"/>
    <w:rsid w:val="60627C82"/>
    <w:rsid w:val="6DEF6DB3"/>
    <w:rsid w:val="7A9523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paragraph" w:styleId="2">
    <w:name w:val="heading 1"/>
    <w:basedOn w:val="1"/>
    <w:next w:val="1"/>
    <w:link w:val="32"/>
    <w:qFormat/>
    <w:uiPriority w:val="9"/>
    <w:pPr>
      <w:keepNext/>
      <w:keepLines/>
      <w:numPr>
        <w:ilvl w:val="0"/>
        <w:numId w:val="1"/>
      </w:numPr>
      <w:spacing w:before="120" w:after="120" w:line="360" w:lineRule="auto"/>
      <w:ind w:left="431" w:hanging="431"/>
      <w:jc w:val="center"/>
      <w:outlineLvl w:val="0"/>
    </w:pPr>
    <w:rPr>
      <w:rFonts w:ascii="Times New Roman" w:hAnsi="Times New Roman"/>
      <w:b/>
      <w:bCs/>
      <w:kern w:val="44"/>
      <w:sz w:val="32"/>
      <w:szCs w:val="44"/>
    </w:rPr>
  </w:style>
  <w:style w:type="paragraph" w:styleId="3">
    <w:name w:val="heading 2"/>
    <w:basedOn w:val="1"/>
    <w:link w:val="29"/>
    <w:qFormat/>
    <w:uiPriority w:val="9"/>
    <w:pPr>
      <w:numPr>
        <w:ilvl w:val="1"/>
        <w:numId w:val="1"/>
      </w:numPr>
      <w:spacing w:before="120" w:after="120" w:line="276" w:lineRule="auto"/>
      <w:ind w:left="578" w:hanging="578"/>
      <w:outlineLvl w:val="1"/>
    </w:pPr>
    <w:rPr>
      <w:rFonts w:ascii="Times New Roman" w:hAnsi="Times New Roman" w:eastAsia="Times New Roman" w:cs="Times New Roman"/>
      <w:b/>
      <w:bCs/>
      <w:sz w:val="28"/>
      <w:szCs w:val="36"/>
      <w:lang w:eastAsia="hr-HR"/>
    </w:rPr>
  </w:style>
  <w:style w:type="paragraph" w:styleId="4">
    <w:name w:val="heading 3"/>
    <w:basedOn w:val="1"/>
    <w:link w:val="30"/>
    <w:qFormat/>
    <w:uiPriority w:val="9"/>
    <w:pPr>
      <w:numPr>
        <w:ilvl w:val="2"/>
        <w:numId w:val="1"/>
      </w:numPr>
      <w:spacing w:before="120" w:after="120" w:line="240" w:lineRule="auto"/>
      <w:outlineLvl w:val="2"/>
    </w:pPr>
    <w:rPr>
      <w:rFonts w:ascii="Times New Roman" w:hAnsi="Times New Roman" w:eastAsia="Times New Roman" w:cs="Times New Roman"/>
      <w:b/>
      <w:bCs/>
      <w:sz w:val="27"/>
      <w:szCs w:val="27"/>
      <w:lang w:eastAsia="hr-HR"/>
    </w:rPr>
  </w:style>
  <w:style w:type="paragraph" w:styleId="5">
    <w:name w:val="heading 4"/>
    <w:basedOn w:val="1"/>
    <w:next w:val="1"/>
    <w:link w:val="37"/>
    <w:semiHidden/>
    <w:unhideWhenUsed/>
    <w:qFormat/>
    <w:uiPriority w:val="9"/>
    <w:pPr>
      <w:keepNext/>
      <w:keepLines/>
      <w:numPr>
        <w:ilvl w:val="3"/>
        <w:numId w:val="1"/>
      </w:numPr>
      <w:spacing w:before="40" w:after="0"/>
      <w:outlineLvl w:val="3"/>
    </w:pPr>
    <w:rPr>
      <w:rFonts w:asciiTheme="majorHAnsi" w:hAnsiTheme="majorHAnsi" w:eastAsiaTheme="majorEastAsia" w:cstheme="majorBidi"/>
      <w:i/>
      <w:iCs/>
      <w:color w:val="2F5597" w:themeColor="accent1" w:themeShade="BF"/>
    </w:rPr>
  </w:style>
  <w:style w:type="paragraph" w:styleId="6">
    <w:name w:val="heading 5"/>
    <w:basedOn w:val="1"/>
    <w:next w:val="1"/>
    <w:link w:val="38"/>
    <w:semiHidden/>
    <w:unhideWhenUsed/>
    <w:qFormat/>
    <w:uiPriority w:val="9"/>
    <w:pPr>
      <w:keepNext/>
      <w:keepLines/>
      <w:numPr>
        <w:ilvl w:val="4"/>
        <w:numId w:val="1"/>
      </w:numPr>
      <w:spacing w:before="40" w:after="0"/>
      <w:outlineLvl w:val="4"/>
    </w:pPr>
    <w:rPr>
      <w:rFonts w:asciiTheme="majorHAnsi" w:hAnsiTheme="majorHAnsi" w:eastAsiaTheme="majorEastAsia" w:cstheme="majorBidi"/>
      <w:color w:val="2F5597" w:themeColor="accent1" w:themeShade="BF"/>
    </w:rPr>
  </w:style>
  <w:style w:type="paragraph" w:styleId="7">
    <w:name w:val="heading 6"/>
    <w:basedOn w:val="1"/>
    <w:next w:val="1"/>
    <w:link w:val="39"/>
    <w:semiHidden/>
    <w:unhideWhenUsed/>
    <w:qFormat/>
    <w:uiPriority w:val="9"/>
    <w:pPr>
      <w:keepNext/>
      <w:keepLines/>
      <w:numPr>
        <w:ilvl w:val="5"/>
        <w:numId w:val="1"/>
      </w:numPr>
      <w:spacing w:before="40" w:after="0"/>
      <w:outlineLvl w:val="5"/>
    </w:pPr>
    <w:rPr>
      <w:rFonts w:asciiTheme="majorHAnsi" w:hAnsiTheme="majorHAnsi" w:eastAsiaTheme="majorEastAsia" w:cstheme="majorBidi"/>
      <w:color w:val="203864" w:themeColor="accent1" w:themeShade="80"/>
    </w:rPr>
  </w:style>
  <w:style w:type="paragraph" w:styleId="8">
    <w:name w:val="heading 7"/>
    <w:basedOn w:val="1"/>
    <w:next w:val="1"/>
    <w:link w:val="40"/>
    <w:semiHidden/>
    <w:unhideWhenUsed/>
    <w:qFormat/>
    <w:uiPriority w:val="9"/>
    <w:pPr>
      <w:keepNext/>
      <w:keepLines/>
      <w:numPr>
        <w:ilvl w:val="6"/>
        <w:numId w:val="1"/>
      </w:numPr>
      <w:spacing w:before="40" w:after="0"/>
      <w:outlineLvl w:val="6"/>
    </w:pPr>
    <w:rPr>
      <w:rFonts w:asciiTheme="majorHAnsi" w:hAnsiTheme="majorHAnsi" w:eastAsiaTheme="majorEastAsia" w:cstheme="majorBidi"/>
      <w:i/>
      <w:iCs/>
      <w:color w:val="203864" w:themeColor="accent1" w:themeShade="80"/>
    </w:rPr>
  </w:style>
  <w:style w:type="paragraph" w:styleId="9">
    <w:name w:val="heading 8"/>
    <w:basedOn w:val="1"/>
    <w:next w:val="1"/>
    <w:link w:val="41"/>
    <w:semiHidden/>
    <w:unhideWhenUsed/>
    <w:qFormat/>
    <w:uiPriority w:val="9"/>
    <w:pPr>
      <w:keepNext/>
      <w:keepLines/>
      <w:numPr>
        <w:ilvl w:val="7"/>
        <w:numId w:val="1"/>
      </w:numPr>
      <w:spacing w:before="40" w:after="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42"/>
    <w:semiHidden/>
    <w:unhideWhenUsed/>
    <w:qFormat/>
    <w:uiPriority w:val="9"/>
    <w:pPr>
      <w:keepNext/>
      <w:keepLines/>
      <w:numPr>
        <w:ilvl w:val="8"/>
        <w:numId w:val="1"/>
      </w:numPr>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45"/>
    <w:semiHidden/>
    <w:unhideWhenUsed/>
    <w:uiPriority w:val="99"/>
    <w:pPr>
      <w:spacing w:after="0" w:line="240" w:lineRule="auto"/>
    </w:pPr>
    <w:rPr>
      <w:rFonts w:ascii="Segoe UI" w:hAnsi="Segoe UI" w:cs="Segoe UI"/>
      <w:sz w:val="18"/>
      <w:szCs w:val="18"/>
    </w:rPr>
  </w:style>
  <w:style w:type="character" w:styleId="14">
    <w:name w:val="annotation reference"/>
    <w:basedOn w:val="11"/>
    <w:semiHidden/>
    <w:unhideWhenUsed/>
    <w:uiPriority w:val="99"/>
    <w:rPr>
      <w:sz w:val="16"/>
      <w:szCs w:val="16"/>
    </w:rPr>
  </w:style>
  <w:style w:type="paragraph" w:styleId="15">
    <w:name w:val="annotation text"/>
    <w:basedOn w:val="1"/>
    <w:link w:val="33"/>
    <w:unhideWhenUsed/>
    <w:uiPriority w:val="99"/>
    <w:pPr>
      <w:spacing w:line="240" w:lineRule="auto"/>
    </w:pPr>
    <w:rPr>
      <w:sz w:val="20"/>
      <w:szCs w:val="20"/>
    </w:rPr>
  </w:style>
  <w:style w:type="paragraph" w:styleId="16">
    <w:name w:val="annotation subject"/>
    <w:basedOn w:val="15"/>
    <w:next w:val="15"/>
    <w:link w:val="34"/>
    <w:semiHidden/>
    <w:unhideWhenUsed/>
    <w:uiPriority w:val="99"/>
    <w:rPr>
      <w:b/>
      <w:bCs/>
    </w:rPr>
  </w:style>
  <w:style w:type="paragraph" w:styleId="17">
    <w:name w:val="footer"/>
    <w:basedOn w:val="1"/>
    <w:link w:val="44"/>
    <w:unhideWhenUsed/>
    <w:uiPriority w:val="99"/>
    <w:pPr>
      <w:tabs>
        <w:tab w:val="center" w:pos="4513"/>
        <w:tab w:val="right" w:pos="9026"/>
      </w:tabs>
      <w:spacing w:after="0" w:line="240" w:lineRule="auto"/>
    </w:pPr>
  </w:style>
  <w:style w:type="paragraph" w:styleId="18">
    <w:name w:val="header"/>
    <w:basedOn w:val="1"/>
    <w:link w:val="43"/>
    <w:unhideWhenUsed/>
    <w:uiPriority w:val="99"/>
    <w:pPr>
      <w:tabs>
        <w:tab w:val="center" w:pos="4513"/>
        <w:tab w:val="right" w:pos="9026"/>
      </w:tabs>
      <w:spacing w:after="0" w:line="240" w:lineRule="auto"/>
    </w:pPr>
  </w:style>
  <w:style w:type="character" w:styleId="19">
    <w:name w:val="Hyperlink"/>
    <w:basedOn w:val="11"/>
    <w:unhideWhenUsed/>
    <w:qFormat/>
    <w:uiPriority w:val="99"/>
    <w:rPr>
      <w:color w:val="0563C1" w:themeColor="hyperlink"/>
      <w:u w:val="single"/>
      <w14:textFill>
        <w14:solidFill>
          <w14:schemeClr w14:val="hlink"/>
        </w14:solidFill>
      </w14:textFill>
    </w:rPr>
  </w:style>
  <w:style w:type="paragraph" w:styleId="2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styleId="21">
    <w:name w:val="Strong"/>
    <w:basedOn w:val="11"/>
    <w:qFormat/>
    <w:uiPriority w:val="22"/>
    <w:rPr>
      <w:b/>
      <w:bCs/>
    </w:rPr>
  </w:style>
  <w:style w:type="table" w:styleId="22">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Neriješeno spominjanje1"/>
    <w:basedOn w:val="11"/>
    <w:semiHidden/>
    <w:unhideWhenUsed/>
    <w:qFormat/>
    <w:uiPriority w:val="99"/>
    <w:rPr>
      <w:color w:val="605E5C"/>
      <w:shd w:val="clear" w:color="auto" w:fill="E1DFDD"/>
    </w:rPr>
  </w:style>
  <w:style w:type="paragraph" w:customStyle="1" w:styleId="24">
    <w:name w:val="Default"/>
    <w:qFormat/>
    <w:uiPriority w:val="0"/>
    <w:pPr>
      <w:autoSpaceDE w:val="0"/>
      <w:autoSpaceDN w:val="0"/>
      <w:adjustRightInd w:val="0"/>
    </w:pPr>
    <w:rPr>
      <w:rFonts w:ascii="Times New Roman" w:hAnsi="Times New Roman" w:cs="Times New Roman" w:eastAsiaTheme="minorHAnsi"/>
      <w:color w:val="000000"/>
      <w:sz w:val="24"/>
      <w:szCs w:val="24"/>
      <w:lang w:val="hr-HR" w:eastAsia="en-US" w:bidi="ar-SA"/>
    </w:rPr>
  </w:style>
  <w:style w:type="paragraph" w:styleId="25">
    <w:name w:val="List Paragraph"/>
    <w:basedOn w:val="1"/>
    <w:qFormat/>
    <w:uiPriority w:val="34"/>
    <w:pPr>
      <w:ind w:left="720"/>
      <w:contextualSpacing/>
    </w:pPr>
  </w:style>
  <w:style w:type="paragraph" w:customStyle="1" w:styleId="26">
    <w:name w:val="isselectedend"/>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 w:type="paragraph" w:customStyle="1" w:styleId="27">
    <w:name w:val="z1qcye"/>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customStyle="1" w:styleId="28">
    <w:name w:val="t286pc"/>
    <w:basedOn w:val="11"/>
    <w:qFormat/>
    <w:uiPriority w:val="0"/>
  </w:style>
  <w:style w:type="character" w:customStyle="1" w:styleId="29">
    <w:name w:val="Heading 2 Char"/>
    <w:basedOn w:val="11"/>
    <w:link w:val="3"/>
    <w:qFormat/>
    <w:uiPriority w:val="9"/>
    <w:rPr>
      <w:rFonts w:eastAsia="Times New Roman"/>
      <w:b/>
      <w:bCs/>
      <w:sz w:val="28"/>
      <w:szCs w:val="36"/>
    </w:rPr>
  </w:style>
  <w:style w:type="character" w:customStyle="1" w:styleId="30">
    <w:name w:val="Heading 3 Char"/>
    <w:basedOn w:val="11"/>
    <w:link w:val="4"/>
    <w:qFormat/>
    <w:uiPriority w:val="9"/>
    <w:rPr>
      <w:rFonts w:eastAsia="Times New Roman"/>
      <w:b/>
      <w:bCs/>
      <w:sz w:val="27"/>
      <w:szCs w:val="27"/>
    </w:rPr>
  </w:style>
  <w:style w:type="table" w:customStyle="1" w:styleId="31">
    <w:name w:val="Tablica rešetke 4 - isticanje 51"/>
    <w:basedOn w:val="12"/>
    <w:qFormat/>
    <w:uiPriority w:val="49"/>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character" w:customStyle="1" w:styleId="32">
    <w:name w:val="Heading 1 Char"/>
    <w:link w:val="2"/>
    <w:qFormat/>
    <w:uiPriority w:val="9"/>
    <w:rPr>
      <w:rFonts w:eastAsiaTheme="minorHAnsi" w:cstheme="minorBidi"/>
      <w:b/>
      <w:bCs/>
      <w:kern w:val="44"/>
      <w:sz w:val="32"/>
      <w:szCs w:val="44"/>
      <w:lang w:eastAsia="en-US"/>
    </w:rPr>
  </w:style>
  <w:style w:type="character" w:customStyle="1" w:styleId="33">
    <w:name w:val="Comment Text Char"/>
    <w:basedOn w:val="11"/>
    <w:link w:val="15"/>
    <w:uiPriority w:val="99"/>
    <w:rPr>
      <w:rFonts w:asciiTheme="minorHAnsi" w:hAnsiTheme="minorHAnsi" w:eastAsiaTheme="minorHAnsi" w:cstheme="minorBidi"/>
      <w:lang w:eastAsia="en-US"/>
    </w:rPr>
  </w:style>
  <w:style w:type="character" w:customStyle="1" w:styleId="34">
    <w:name w:val="Comment Subject Char"/>
    <w:basedOn w:val="33"/>
    <w:link w:val="16"/>
    <w:semiHidden/>
    <w:uiPriority w:val="99"/>
    <w:rPr>
      <w:rFonts w:asciiTheme="minorHAnsi" w:hAnsiTheme="minorHAnsi" w:eastAsiaTheme="minorHAnsi" w:cstheme="minorBidi"/>
      <w:b/>
      <w:bCs/>
      <w:lang w:eastAsia="en-US"/>
    </w:rPr>
  </w:style>
  <w:style w:type="paragraph" w:customStyle="1" w:styleId="35">
    <w:name w:val="pf0"/>
    <w:basedOn w:val="1"/>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customStyle="1" w:styleId="36">
    <w:name w:val="cf01"/>
    <w:basedOn w:val="11"/>
    <w:uiPriority w:val="0"/>
    <w:rPr>
      <w:rFonts w:hint="default" w:ascii="Segoe UI" w:hAnsi="Segoe UI" w:cs="Segoe UI"/>
      <w:sz w:val="18"/>
      <w:szCs w:val="18"/>
    </w:rPr>
  </w:style>
  <w:style w:type="character" w:customStyle="1" w:styleId="37">
    <w:name w:val="Heading 4 Char"/>
    <w:basedOn w:val="11"/>
    <w:link w:val="5"/>
    <w:semiHidden/>
    <w:uiPriority w:val="9"/>
    <w:rPr>
      <w:rFonts w:asciiTheme="majorHAnsi" w:hAnsiTheme="majorHAnsi" w:eastAsiaTheme="majorEastAsia" w:cstheme="majorBidi"/>
      <w:i/>
      <w:iCs/>
      <w:color w:val="2F5597" w:themeColor="accent1" w:themeShade="BF"/>
      <w:sz w:val="22"/>
      <w:szCs w:val="22"/>
      <w:lang w:eastAsia="en-US"/>
    </w:rPr>
  </w:style>
  <w:style w:type="character" w:customStyle="1" w:styleId="38">
    <w:name w:val="Heading 5 Char"/>
    <w:basedOn w:val="11"/>
    <w:link w:val="6"/>
    <w:semiHidden/>
    <w:uiPriority w:val="9"/>
    <w:rPr>
      <w:rFonts w:asciiTheme="majorHAnsi" w:hAnsiTheme="majorHAnsi" w:eastAsiaTheme="majorEastAsia" w:cstheme="majorBidi"/>
      <w:color w:val="2F5597" w:themeColor="accent1" w:themeShade="BF"/>
      <w:sz w:val="22"/>
      <w:szCs w:val="22"/>
      <w:lang w:eastAsia="en-US"/>
    </w:rPr>
  </w:style>
  <w:style w:type="character" w:customStyle="1" w:styleId="39">
    <w:name w:val="Heading 6 Char"/>
    <w:basedOn w:val="11"/>
    <w:link w:val="7"/>
    <w:semiHidden/>
    <w:uiPriority w:val="9"/>
    <w:rPr>
      <w:rFonts w:asciiTheme="majorHAnsi" w:hAnsiTheme="majorHAnsi" w:eastAsiaTheme="majorEastAsia" w:cstheme="majorBidi"/>
      <w:color w:val="203864" w:themeColor="accent1" w:themeShade="80"/>
      <w:sz w:val="22"/>
      <w:szCs w:val="22"/>
      <w:lang w:eastAsia="en-US"/>
    </w:rPr>
  </w:style>
  <w:style w:type="character" w:customStyle="1" w:styleId="40">
    <w:name w:val="Heading 7 Char"/>
    <w:basedOn w:val="11"/>
    <w:link w:val="8"/>
    <w:semiHidden/>
    <w:uiPriority w:val="9"/>
    <w:rPr>
      <w:rFonts w:asciiTheme="majorHAnsi" w:hAnsiTheme="majorHAnsi" w:eastAsiaTheme="majorEastAsia" w:cstheme="majorBidi"/>
      <w:i/>
      <w:iCs/>
      <w:color w:val="203864" w:themeColor="accent1" w:themeShade="80"/>
      <w:sz w:val="22"/>
      <w:szCs w:val="22"/>
      <w:lang w:eastAsia="en-US"/>
    </w:rPr>
  </w:style>
  <w:style w:type="character" w:customStyle="1" w:styleId="41">
    <w:name w:val="Heading 8 Char"/>
    <w:basedOn w:val="11"/>
    <w:link w:val="9"/>
    <w:semiHidden/>
    <w:uiPriority w:val="9"/>
    <w:rPr>
      <w:rFonts w:asciiTheme="majorHAnsi" w:hAnsiTheme="majorHAnsi" w:eastAsiaTheme="majorEastAsia" w:cstheme="majorBidi"/>
      <w:color w:val="262626" w:themeColor="text1" w:themeTint="D9"/>
      <w:sz w:val="21"/>
      <w:szCs w:val="21"/>
      <w:lang w:eastAsia="en-US"/>
      <w14:textFill>
        <w14:solidFill>
          <w14:schemeClr w14:val="tx1">
            <w14:lumMod w14:val="85000"/>
            <w14:lumOff w14:val="15000"/>
          </w14:schemeClr>
        </w14:solidFill>
      </w14:textFill>
    </w:rPr>
  </w:style>
  <w:style w:type="character" w:customStyle="1" w:styleId="42">
    <w:name w:val="Heading 9 Char"/>
    <w:basedOn w:val="11"/>
    <w:link w:val="10"/>
    <w:semiHidden/>
    <w:uiPriority w:val="9"/>
    <w:rPr>
      <w:rFonts w:asciiTheme="majorHAnsi" w:hAnsiTheme="majorHAnsi" w:eastAsiaTheme="majorEastAsia" w:cstheme="majorBidi"/>
      <w:i/>
      <w:iCs/>
      <w:color w:val="262626" w:themeColor="text1" w:themeTint="D9"/>
      <w:sz w:val="21"/>
      <w:szCs w:val="21"/>
      <w:lang w:eastAsia="en-US"/>
      <w14:textFill>
        <w14:solidFill>
          <w14:schemeClr w14:val="tx1">
            <w14:lumMod w14:val="85000"/>
            <w14:lumOff w14:val="15000"/>
          </w14:schemeClr>
        </w14:solidFill>
      </w14:textFill>
    </w:rPr>
  </w:style>
  <w:style w:type="character" w:customStyle="1" w:styleId="43">
    <w:name w:val="Header Char"/>
    <w:basedOn w:val="11"/>
    <w:link w:val="18"/>
    <w:uiPriority w:val="99"/>
    <w:rPr>
      <w:rFonts w:asciiTheme="minorHAnsi" w:hAnsiTheme="minorHAnsi" w:eastAsiaTheme="minorHAnsi" w:cstheme="minorBidi"/>
      <w:sz w:val="22"/>
      <w:szCs w:val="22"/>
      <w:lang w:eastAsia="en-US"/>
    </w:rPr>
  </w:style>
  <w:style w:type="character" w:customStyle="1" w:styleId="44">
    <w:name w:val="Footer Char"/>
    <w:basedOn w:val="11"/>
    <w:link w:val="17"/>
    <w:uiPriority w:val="99"/>
    <w:rPr>
      <w:rFonts w:asciiTheme="minorHAnsi" w:hAnsiTheme="minorHAnsi" w:eastAsiaTheme="minorHAnsi" w:cstheme="minorBidi"/>
      <w:sz w:val="22"/>
      <w:szCs w:val="22"/>
      <w:lang w:eastAsia="en-US"/>
    </w:rPr>
  </w:style>
  <w:style w:type="character" w:customStyle="1" w:styleId="45">
    <w:name w:val="Balloon Text Char"/>
    <w:basedOn w:val="11"/>
    <w:link w:val="13"/>
    <w:semiHidden/>
    <w:uiPriority w:val="99"/>
    <w:rPr>
      <w:rFonts w:ascii="Segoe UI" w:hAnsi="Segoe UI" w:cs="Segoe UI" w:eastAsiaTheme="minorHAnsi"/>
      <w:sz w:val="18"/>
      <w:szCs w:val="18"/>
      <w:lang w:eastAsia="en-US"/>
    </w:rPr>
  </w:style>
  <w:style w:type="paragraph" w:customStyle="1" w:styleId="46">
    <w:name w:val="pdq2pg_selectionanchorcontainer"/>
    <w:basedOn w:val="1"/>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3955D-F111-460D-BD59-1F17124E2762}">
  <ds:schemaRefs/>
</ds:datastoreItem>
</file>

<file path=docProps/app.xml><?xml version="1.0" encoding="utf-8"?>
<Properties xmlns="http://schemas.openxmlformats.org/officeDocument/2006/extended-properties" xmlns:vt="http://schemas.openxmlformats.org/officeDocument/2006/docPropsVTypes">
  <Template>Normal</Template>
  <Pages>24</Pages>
  <Words>6255</Words>
  <Characters>42547</Characters>
  <Lines>347</Lines>
  <Paragraphs>97</Paragraphs>
  <TotalTime>50</TotalTime>
  <ScaleCrop>false</ScaleCrop>
  <LinksUpToDate>false</LinksUpToDate>
  <CharactersWithSpaces>48552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2026-07-16T07:37:00Z</dcterms:created>
  <dc:creator>Nacelnik</dc:creator>
  <cp:lastModifiedBy>Matija Ladić</cp:lastModifiedBy>
  <dcterms:modified xsi:type="dcterms:W3CDTF">2026-08-11T12:22:20Z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08D82F905DEA4F40A45DC2A5E587364B_13</vt:lpwstr>
  </property>
</Properties>
</file>