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11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5"/>
      </w:tblGrid>
      <w:tr w14:paraId="78D06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597452">
            <w:pPr>
              <w:rPr>
                <w:lang w:val="hr-HR"/>
              </w:rPr>
            </w:pPr>
            <w:r>
              <w:rPr>
                <w:b/>
                <w:lang w:val="hr-HR"/>
              </w:rPr>
              <w:t>REPUBLIKA HRVATSKA</w:t>
            </w:r>
          </w:p>
        </w:tc>
      </w:tr>
      <w:tr w14:paraId="30DDE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D65DEB">
            <w:pPr>
              <w:rPr>
                <w:lang w:val="hr-HR"/>
              </w:rPr>
            </w:pPr>
            <w:r>
              <w:rPr>
                <w:b/>
                <w:lang w:val="hr-HR"/>
              </w:rPr>
              <w:t>MEĐIMURSKA ŽUPANIJA</w:t>
            </w:r>
          </w:p>
        </w:tc>
      </w:tr>
      <w:tr w14:paraId="03553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CAF7CD8">
            <w:pPr>
              <w:rPr>
                <w:lang w:val="hr-HR"/>
              </w:rPr>
            </w:pPr>
            <w:r>
              <w:rPr>
                <w:b/>
                <w:lang w:val="hr-HR"/>
              </w:rPr>
              <w:t>DJEČJI VRTIĆ „MAGNOLIJA“</w:t>
            </w:r>
          </w:p>
        </w:tc>
      </w:tr>
      <w:tr w14:paraId="59920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1F0865">
            <w:pPr>
              <w:rPr>
                <w:lang w:val="hr-HR"/>
              </w:rPr>
            </w:pPr>
            <w:r>
              <w:rPr>
                <w:b/>
                <w:lang w:val="hr-HR"/>
              </w:rPr>
              <w:t>KAŠTELSKA ULICA 14, PRIBISLAVEC</w:t>
            </w:r>
          </w:p>
        </w:tc>
      </w:tr>
      <w:tr w14:paraId="5BD3F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993D5D">
            <w:pPr>
              <w:rPr>
                <w:lang w:val="hr-HR"/>
              </w:rPr>
            </w:pPr>
            <w:r>
              <w:rPr>
                <w:lang w:val="hr-HR"/>
              </w:rPr>
              <w:t>OIB: 25477165360</w:t>
            </w:r>
          </w:p>
        </w:tc>
      </w:tr>
      <w:tr w14:paraId="78F89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DB94E2A">
            <w:pPr>
              <w:rPr>
                <w:lang w:val="hr-HR"/>
              </w:rPr>
            </w:pPr>
          </w:p>
        </w:tc>
      </w:tr>
      <w:tr w14:paraId="0A0D6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35474B0">
            <w:pPr>
              <w:rPr>
                <w:lang w:val="hr-HR"/>
              </w:rPr>
            </w:pPr>
          </w:p>
        </w:tc>
      </w:tr>
      <w:tr w14:paraId="31D94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F155E8E">
            <w:pPr>
              <w:jc w:val="center"/>
              <w:rPr>
                <w:lang w:val="hr-HR"/>
              </w:rPr>
            </w:pPr>
            <w:r>
              <w:rPr>
                <w:b/>
                <w:sz w:val="28"/>
                <w:lang w:val="hr-HR"/>
              </w:rPr>
              <w:t>FINANCIJSKI PLAN ZA 2026. GODINU I PROJEKCIJE PLANA ZA 2027. I 2028. GODINU</w:t>
            </w:r>
          </w:p>
        </w:tc>
      </w:tr>
      <w:tr w14:paraId="64037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620916">
            <w:pPr>
              <w:rPr>
                <w:lang w:val="hr-HR"/>
              </w:rPr>
            </w:pPr>
          </w:p>
        </w:tc>
      </w:tr>
      <w:tr w14:paraId="71303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3A071F">
            <w:pPr>
              <w:jc w:val="center"/>
              <w:rPr>
                <w:lang w:val="hr-HR"/>
              </w:rPr>
            </w:pPr>
            <w:r>
              <w:rPr>
                <w:i/>
                <w:lang w:val="hr-HR"/>
              </w:rPr>
              <w:t>(plan za 2026. obuhvaća razdoblje 1. rujna – 31. prosinca 2026.)</w:t>
            </w:r>
          </w:p>
        </w:tc>
      </w:tr>
      <w:tr w14:paraId="2E7B9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69AF6C">
            <w:pPr>
              <w:rPr>
                <w:lang w:val="hr-HR"/>
              </w:rPr>
            </w:pPr>
          </w:p>
        </w:tc>
      </w:tr>
      <w:tr w14:paraId="5A7C6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36558A">
            <w:pPr>
              <w:rPr>
                <w:lang w:val="hr-HR"/>
              </w:rPr>
            </w:pPr>
          </w:p>
        </w:tc>
      </w:tr>
      <w:tr w14:paraId="57F11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291A197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Na temelju Zakona o proračunu i Statuta Dječjeg vrtića „Magnolija“, Upravno vijeće Dječjeg vrtića „Magnolija“ na 4. sjednici održanoj 23. srpnja 2026. donosi Financijski plan za 2026. godinu i projekcije za 2027. i 2028. godinu.</w:t>
            </w:r>
          </w:p>
        </w:tc>
      </w:tr>
      <w:tr w14:paraId="373C9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857DEB">
            <w:pPr>
              <w:rPr>
                <w:lang w:val="hr-HR"/>
              </w:rPr>
            </w:pPr>
          </w:p>
        </w:tc>
      </w:tr>
      <w:tr w14:paraId="4B467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81A93E">
            <w:pPr>
              <w:jc w:val="center"/>
              <w:rPr>
                <w:lang w:val="hr-HR"/>
              </w:rPr>
            </w:pPr>
            <w:r>
              <w:rPr>
                <w:b/>
                <w:lang w:val="hr-HR"/>
              </w:rPr>
              <w:t>ČLANAK 1.</w:t>
            </w:r>
          </w:p>
        </w:tc>
      </w:tr>
      <w:tr w14:paraId="04C56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8B50D2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Financijski plan sadrži: 1. OPĆI DIO – Sažetak računa prihoda i rashoda i Račun financiranja; Račun prihoda i rashoda prema ekonomskoj klasifikaciji, izvorima financiranja i funkcijskoj klasifikaciji; 2. POSEBNI DIO – prema programskoj klasifikaciji; 3. OBRAZLOŽENJE – obrazloženje općeg i posebnog dijela.</w:t>
            </w:r>
          </w:p>
        </w:tc>
      </w:tr>
      <w:tr w14:paraId="4A735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363E5CB">
            <w:pPr>
              <w:rPr>
                <w:lang w:val="hr-HR"/>
              </w:rPr>
            </w:pPr>
          </w:p>
        </w:tc>
      </w:tr>
      <w:tr w14:paraId="0D669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54F4714">
            <w:pPr>
              <w:jc w:val="center"/>
              <w:rPr>
                <w:lang w:val="hr-HR"/>
              </w:rPr>
            </w:pPr>
            <w:r>
              <w:rPr>
                <w:b/>
                <w:lang w:val="hr-HR"/>
              </w:rPr>
              <w:t>ČLANAK 2.</w:t>
            </w:r>
          </w:p>
        </w:tc>
      </w:tr>
      <w:tr w14:paraId="59223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34E2D07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Sastavni dio ovog Financijskog plana čine listovi 01 – 09 ove radne knjige. Modelne pretpostavke i obračuni nalaze se u pratećim radnim listovima.</w:t>
            </w:r>
          </w:p>
        </w:tc>
      </w:tr>
      <w:tr w14:paraId="7233F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25CCF1">
            <w:pPr>
              <w:rPr>
                <w:lang w:val="hr-HR"/>
              </w:rPr>
            </w:pPr>
          </w:p>
        </w:tc>
      </w:tr>
    </w:tbl>
    <w:p w14:paraId="4E2A0AEE">
      <w:pPr>
        <w:rPr>
          <w:lang w:val="hr-HR"/>
        </w:rPr>
        <w:sectPr>
          <w:footerReference r:id="rId5" w:type="default"/>
          <w:pgSz w:w="11905" w:h="16838"/>
          <w:pgMar w:top="648" w:right="360" w:bottom="648" w:left="360" w:header="288" w:footer="288" w:gutter="0"/>
          <w:cols w:space="720" w:num="1"/>
          <w:docGrid w:linePitch="360" w:charSpace="0"/>
        </w:sectPr>
      </w:pPr>
    </w:p>
    <w:tbl>
      <w:tblPr>
        <w:tblStyle w:val="12"/>
        <w:tblW w:w="161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2"/>
        <w:gridCol w:w="2604"/>
        <w:gridCol w:w="2116"/>
        <w:gridCol w:w="2116"/>
      </w:tblGrid>
      <w:tr w14:paraId="0C77F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6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DF21E0F">
            <w:pPr>
              <w:jc w:val="center"/>
              <w:rPr>
                <w:lang w:val="hr-HR"/>
              </w:rPr>
            </w:pPr>
            <w:r>
              <w:rPr>
                <w:b/>
                <w:lang w:val="hr-HR"/>
              </w:rPr>
              <w:t>I. OPĆI DIO – SAŽETAK</w:t>
            </w:r>
          </w:p>
        </w:tc>
      </w:tr>
      <w:tr w14:paraId="333D7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6CF85B">
            <w:pPr>
              <w:rPr>
                <w:lang w:val="hr-HR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C80ACCC">
            <w:pPr>
              <w:jc w:val="right"/>
              <w:rPr>
                <w:lang w:val="hr-H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F72041E">
            <w:pPr>
              <w:jc w:val="right"/>
              <w:rPr>
                <w:lang w:val="hr-H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414F667">
            <w:pPr>
              <w:jc w:val="right"/>
              <w:rPr>
                <w:lang w:val="hr-HR"/>
              </w:rPr>
            </w:pPr>
          </w:p>
        </w:tc>
      </w:tr>
      <w:tr w14:paraId="0BDD2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92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844B159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RAZRED I NAZIV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547DEB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Plan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2026 (1.9.–31.12.)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6F915C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Projekcija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2027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5287354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Projekcija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2028</w:t>
            </w:r>
          </w:p>
        </w:tc>
      </w:tr>
      <w:tr w14:paraId="56B79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F739D4F">
            <w:pPr>
              <w:rPr>
                <w:lang w:val="hr-HR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66C3CD">
            <w:pPr>
              <w:jc w:val="right"/>
              <w:rPr>
                <w:lang w:val="hr-H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728316">
            <w:pPr>
              <w:jc w:val="right"/>
              <w:rPr>
                <w:lang w:val="hr-H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A1BC73F">
            <w:pPr>
              <w:jc w:val="right"/>
              <w:rPr>
                <w:lang w:val="hr-HR"/>
              </w:rPr>
            </w:pPr>
          </w:p>
        </w:tc>
      </w:tr>
      <w:tr w14:paraId="6AC9B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</w:trPr>
        <w:tc>
          <w:tcPr>
            <w:tcW w:w="16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C314FA7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A) SAŽETAK RAČUNA PRIHODA I RASHODA</w:t>
            </w:r>
          </w:p>
        </w:tc>
      </w:tr>
      <w:tr w14:paraId="226D5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00BC4A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PRIHODI UKUPNO</w:t>
            </w:r>
          </w:p>
        </w:tc>
        <w:tc>
          <w:tcPr>
            <w:tcW w:w="2604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4434EE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234.284,64</w:t>
            </w:r>
          </w:p>
        </w:tc>
        <w:tc>
          <w:tcPr>
            <w:tcW w:w="211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DAF6455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737.921,74</w:t>
            </w:r>
          </w:p>
        </w:tc>
        <w:tc>
          <w:tcPr>
            <w:tcW w:w="211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CA8CA7F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769.320,50</w:t>
            </w:r>
          </w:p>
        </w:tc>
      </w:tr>
      <w:tr w14:paraId="5BC79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8C0D25B">
            <w:pPr>
              <w:rPr>
                <w:lang w:val="hr-HR"/>
              </w:rPr>
            </w:pPr>
            <w:r>
              <w:rPr>
                <w:sz w:val="18"/>
                <w:lang w:val="hr-HR"/>
              </w:rPr>
              <w:t>6 PRIHODI POSLOVANJA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52DA00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234.284,64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D823640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737.921,74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767FFA8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769.320,50</w:t>
            </w:r>
          </w:p>
        </w:tc>
      </w:tr>
      <w:tr w14:paraId="317F9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22C2B75">
            <w:pPr>
              <w:rPr>
                <w:lang w:val="hr-HR"/>
              </w:rPr>
            </w:pPr>
            <w:r>
              <w:rPr>
                <w:sz w:val="18"/>
                <w:lang w:val="hr-HR"/>
              </w:rPr>
              <w:t>7 PRIHODI OD PRODAJE NEFINANCIJSKE IMOVINE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38BF548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B4D9376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1EFA93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0</w:t>
            </w:r>
          </w:p>
        </w:tc>
      </w:tr>
      <w:tr w14:paraId="57655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6045D23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RASHODI UKUPNO</w:t>
            </w:r>
          </w:p>
        </w:tc>
        <w:tc>
          <w:tcPr>
            <w:tcW w:w="2604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075BF89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234.284,64</w:t>
            </w:r>
          </w:p>
        </w:tc>
        <w:tc>
          <w:tcPr>
            <w:tcW w:w="211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041D0F8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737.921,74</w:t>
            </w:r>
          </w:p>
        </w:tc>
        <w:tc>
          <w:tcPr>
            <w:tcW w:w="211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7FAB102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769.320,50</w:t>
            </w:r>
          </w:p>
        </w:tc>
      </w:tr>
      <w:tr w14:paraId="4E822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683F9">
            <w:pPr>
              <w:rPr>
                <w:lang w:val="hr-HR"/>
              </w:rPr>
            </w:pPr>
            <w:r>
              <w:rPr>
                <w:sz w:val="18"/>
                <w:lang w:val="hr-HR"/>
              </w:rPr>
              <w:t>3 RASHODI POSLOVANJA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91CFD4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229.984,64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1DEF932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721.921,74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0AAC55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749.320,50</w:t>
            </w:r>
          </w:p>
        </w:tc>
      </w:tr>
      <w:tr w14:paraId="14C84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27BFE55">
            <w:pPr>
              <w:rPr>
                <w:lang w:val="hr-HR"/>
              </w:rPr>
            </w:pPr>
            <w:r>
              <w:rPr>
                <w:sz w:val="18"/>
                <w:lang w:val="hr-HR"/>
              </w:rPr>
              <w:t>4 RASHODI ZA NABAVU NEFINANCIJSKE IMOVINE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9D8E483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4.300,00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0C34324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16.000,00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DF395D7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20.000,00</w:t>
            </w:r>
          </w:p>
        </w:tc>
      </w:tr>
      <w:tr w14:paraId="5E6DD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D2577E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RAZLIKA – VIŠAK/MANJAK</w:t>
            </w:r>
          </w:p>
        </w:tc>
        <w:tc>
          <w:tcPr>
            <w:tcW w:w="2604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A7370FD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9C2692E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24A10A8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-</w:t>
            </w:r>
          </w:p>
        </w:tc>
      </w:tr>
      <w:tr w14:paraId="695FF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7A231A2">
            <w:pPr>
              <w:rPr>
                <w:lang w:val="hr-HR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456D94F">
            <w:pPr>
              <w:jc w:val="right"/>
              <w:rPr>
                <w:lang w:val="hr-H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2DB9425">
            <w:pPr>
              <w:jc w:val="right"/>
              <w:rPr>
                <w:lang w:val="hr-H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CCF5795">
            <w:pPr>
              <w:jc w:val="right"/>
              <w:rPr>
                <w:lang w:val="hr-HR"/>
              </w:rPr>
            </w:pPr>
          </w:p>
        </w:tc>
      </w:tr>
      <w:tr w14:paraId="19543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</w:trPr>
        <w:tc>
          <w:tcPr>
            <w:tcW w:w="16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0AC9EC8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B) SAŽETAK RAČUNA FINANCIRANJA</w:t>
            </w:r>
          </w:p>
        </w:tc>
      </w:tr>
      <w:tr w14:paraId="4F97A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DEB9E9C">
            <w:pPr>
              <w:rPr>
                <w:lang w:val="hr-HR"/>
              </w:rPr>
            </w:pPr>
            <w:r>
              <w:rPr>
                <w:sz w:val="18"/>
                <w:lang w:val="hr-HR"/>
              </w:rPr>
              <w:t>8 PRIMICI OD FINANCIJSKE IMOVINE I ZADUŽIVANJA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30B869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1F8A01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FE3DDA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</w:tr>
      <w:tr w14:paraId="5D5B9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7E86D5C">
            <w:pPr>
              <w:rPr>
                <w:lang w:val="hr-HR"/>
              </w:rPr>
            </w:pPr>
            <w:r>
              <w:rPr>
                <w:sz w:val="18"/>
                <w:lang w:val="hr-HR"/>
              </w:rPr>
              <w:t>5 IZDACI ZA FINANCIJSKU IMOVINU I OTPLATE ZAJMOVA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AB8216F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4E79650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37E3F9F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</w:tr>
      <w:tr w14:paraId="0D25B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DEF484D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NETO FINANCIRANJE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B56286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C91A37E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39F982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-</w:t>
            </w:r>
          </w:p>
        </w:tc>
      </w:tr>
      <w:tr w14:paraId="7A4E0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AE5E0F4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VIŠAK/MANJAK + NETO FINANCIRANJE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F3DD36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97A421A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469EFC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-</w:t>
            </w:r>
          </w:p>
        </w:tc>
      </w:tr>
      <w:tr w14:paraId="5F589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E12BC92">
            <w:pPr>
              <w:rPr>
                <w:lang w:val="hr-HR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FD8EB01">
            <w:pPr>
              <w:jc w:val="right"/>
              <w:rPr>
                <w:lang w:val="hr-H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FBC6785">
            <w:pPr>
              <w:jc w:val="right"/>
              <w:rPr>
                <w:lang w:val="hr-H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9DC3136">
            <w:pPr>
              <w:jc w:val="right"/>
              <w:rPr>
                <w:lang w:val="hr-HR"/>
              </w:rPr>
            </w:pPr>
          </w:p>
        </w:tc>
      </w:tr>
      <w:tr w14:paraId="43A95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</w:trPr>
        <w:tc>
          <w:tcPr>
            <w:tcW w:w="16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2E7E1F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C) PRENESENI VIŠAK ILI PRENESENI MANJAK</w:t>
            </w:r>
          </w:p>
        </w:tc>
      </w:tr>
      <w:tr w14:paraId="14295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594AC2">
            <w:pPr>
              <w:rPr>
                <w:lang w:val="hr-HR"/>
              </w:rPr>
            </w:pPr>
            <w:r>
              <w:rPr>
                <w:sz w:val="18"/>
                <w:lang w:val="hr-HR"/>
              </w:rPr>
              <w:t>PRIJENOS VIŠKA/MANJKA IZ PRETHODNE(IH) GODINE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95E578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910322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93227AF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</w:tr>
      <w:tr w14:paraId="410D9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6E0AAA">
            <w:pPr>
              <w:rPr>
                <w:lang w:val="hr-HR"/>
              </w:rPr>
            </w:pPr>
            <w:r>
              <w:rPr>
                <w:sz w:val="18"/>
                <w:lang w:val="hr-HR"/>
              </w:rPr>
              <w:t>PRIJENOS VIŠKA/MANJKA U SLJEDEĆE RAZDOBLJE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59BE7BC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915F82F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DED13B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</w:tr>
      <w:tr w14:paraId="1A684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1DCBC58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VIŠAK/MANJAK + NETO FINANCIRANJE + PRIJENOS VIŠKA/MANJKA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C3255F5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18779D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FB1932F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-</w:t>
            </w:r>
          </w:p>
        </w:tc>
      </w:tr>
      <w:tr w14:paraId="68CA2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C94546F">
            <w:pPr>
              <w:rPr>
                <w:lang w:val="hr-HR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77EF74">
            <w:pPr>
              <w:jc w:val="right"/>
              <w:rPr>
                <w:lang w:val="hr-H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12A19C6">
            <w:pPr>
              <w:jc w:val="right"/>
              <w:rPr>
                <w:lang w:val="hr-H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72B723B">
            <w:pPr>
              <w:jc w:val="right"/>
              <w:rPr>
                <w:lang w:val="hr-HR"/>
              </w:rPr>
            </w:pPr>
          </w:p>
        </w:tc>
      </w:tr>
      <w:tr w14:paraId="20C27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</w:trPr>
        <w:tc>
          <w:tcPr>
            <w:tcW w:w="16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81C72B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D) VIŠEGODIŠNJI PLAN URAVNOTEŽENJA</w:t>
            </w:r>
          </w:p>
        </w:tc>
      </w:tr>
      <w:tr w14:paraId="37A26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81132C">
            <w:pPr>
              <w:rPr>
                <w:lang w:val="hr-HR"/>
              </w:rPr>
            </w:pPr>
            <w:r>
              <w:rPr>
                <w:sz w:val="18"/>
                <w:lang w:val="hr-HR"/>
              </w:rPr>
              <w:t>PRIJENOS VIŠKA/MANJKA IZ PRETHODNE(IH) GODINE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C97405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C74D961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9C437EE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</w:tr>
      <w:tr w14:paraId="36541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CAA84CB">
            <w:pPr>
              <w:rPr>
                <w:lang w:val="hr-HR"/>
              </w:rPr>
            </w:pPr>
            <w:r>
              <w:rPr>
                <w:sz w:val="18"/>
                <w:lang w:val="hr-HR"/>
              </w:rPr>
              <w:t>VIŠAK/MANJAK IZ PRETHODNE(IH) GODINE KOJI ĆE SE RASPOREDITI/POKRITI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4B55395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547471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203C974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</w:tr>
      <w:tr w14:paraId="77CB6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D0399B">
            <w:pPr>
              <w:rPr>
                <w:lang w:val="hr-HR"/>
              </w:rPr>
            </w:pPr>
            <w:r>
              <w:rPr>
                <w:sz w:val="18"/>
                <w:lang w:val="hr-HR"/>
              </w:rPr>
              <w:t>VIŠAK/MANJAK TEKUĆE GODINE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93ECC26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92A834E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EFC1557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</w:tr>
      <w:tr w14:paraId="22458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66777B">
            <w:pPr>
              <w:rPr>
                <w:lang w:val="hr-HR"/>
              </w:rPr>
            </w:pPr>
            <w:r>
              <w:rPr>
                <w:sz w:val="18"/>
                <w:lang w:val="hr-HR"/>
              </w:rPr>
              <w:t>PRIJENOS VIŠKA/MANJKA U SLJEDEĆE RAZDOBLJE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6028985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627302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DE2D657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-</w:t>
            </w:r>
          </w:p>
        </w:tc>
      </w:tr>
    </w:tbl>
    <w:p w14:paraId="614FE69D">
      <w:pPr>
        <w:rPr>
          <w:lang w:val="hr-HR"/>
        </w:rPr>
        <w:sectPr>
          <w:footerReference r:id="rId6" w:type="default"/>
          <w:pgSz w:w="16838" w:h="11905" w:orient="landscape"/>
          <w:pgMar w:top="648" w:right="360" w:bottom="648" w:left="360" w:header="288" w:footer="288" w:gutter="0"/>
          <w:cols w:space="720" w:num="1"/>
          <w:docGrid w:linePitch="360" w:charSpace="0"/>
        </w:sectPr>
      </w:pPr>
    </w:p>
    <w:tbl>
      <w:tblPr>
        <w:tblStyle w:val="12"/>
        <w:tblW w:w="161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8996"/>
        <w:gridCol w:w="2284"/>
        <w:gridCol w:w="1856"/>
        <w:gridCol w:w="1856"/>
      </w:tblGrid>
      <w:tr w14:paraId="6008C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6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4F0893">
            <w:pPr>
              <w:jc w:val="center"/>
              <w:rPr>
                <w:lang w:val="hr-HR"/>
              </w:rPr>
            </w:pPr>
            <w:r>
              <w:rPr>
                <w:b/>
                <w:color w:val="000000"/>
                <w:lang w:val="hr-HR"/>
              </w:rPr>
              <w:t>A. RAČUN PRIHODA I RASHODA</w:t>
            </w:r>
          </w:p>
        </w:tc>
      </w:tr>
      <w:tr w14:paraId="43247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365B86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A1. PRIHODI I RASHODI PREMA EKONOMSKOJ KLASIFIKACIJI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620323">
            <w:pPr>
              <w:rPr>
                <w:lang w:val="hr-HR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81F3F4A">
            <w:pPr>
              <w:rPr>
                <w:lang w:val="hr-HR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1CBD12D">
            <w:pPr>
              <w:rPr>
                <w:lang w:val="hr-HR"/>
              </w:rPr>
            </w:pPr>
          </w:p>
        </w:tc>
      </w:tr>
      <w:tr w14:paraId="2B69A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9E93F52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A1.1. PRIHODI PREMA EKONOMSKOJ KLASIFIKACIJI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2EFD30">
            <w:pPr>
              <w:rPr>
                <w:lang w:val="hr-HR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9B3F075">
            <w:pPr>
              <w:rPr>
                <w:lang w:val="hr-HR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71C800F">
            <w:pPr>
              <w:rPr>
                <w:lang w:val="hr-HR"/>
              </w:rPr>
            </w:pPr>
          </w:p>
        </w:tc>
      </w:tr>
      <w:tr w14:paraId="39808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D97EA6">
            <w:pPr>
              <w:rPr>
                <w:lang w:val="hr-HR"/>
              </w:rPr>
            </w:pP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5DC65D9">
            <w:pPr>
              <w:rPr>
                <w:lang w:val="hr-H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33BEA82">
            <w:pPr>
              <w:rPr>
                <w:lang w:val="hr-HR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CA04B4C">
            <w:pPr>
              <w:rPr>
                <w:lang w:val="hr-HR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C75AD27">
            <w:pPr>
              <w:rPr>
                <w:lang w:val="hr-HR"/>
              </w:rPr>
            </w:pPr>
          </w:p>
        </w:tc>
      </w:tr>
      <w:tr w14:paraId="765CB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112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28CE6F9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Razred/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skupina</w:t>
            </w:r>
          </w:p>
        </w:tc>
        <w:tc>
          <w:tcPr>
            <w:tcW w:w="89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858F89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Naziv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E053A3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Plan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2026 (1.9.–31.12.)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0F55806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Projekcija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3EC6C8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Projekcija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2028</w:t>
            </w:r>
          </w:p>
        </w:tc>
      </w:tr>
      <w:tr w14:paraId="14B09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CD93642">
            <w:pPr>
              <w:rPr>
                <w:lang w:val="hr-HR"/>
              </w:rPr>
            </w:pPr>
            <w:r>
              <w:rPr>
                <w:b/>
                <w:color w:val="000000"/>
                <w:sz w:val="18"/>
                <w:lang w:val="hr-HR"/>
              </w:rPr>
              <w:t>6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40373CC">
            <w:pPr>
              <w:rPr>
                <w:lang w:val="hr-HR"/>
              </w:rPr>
            </w:pPr>
            <w:r>
              <w:rPr>
                <w:b/>
                <w:color w:val="000000"/>
                <w:sz w:val="18"/>
                <w:lang w:val="hr-HR"/>
              </w:rPr>
              <w:t>PRIHODI POSLOVANJA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7E0936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234.284,64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344DFB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737.921,74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2A08F91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769.320,50</w:t>
            </w:r>
          </w:p>
        </w:tc>
      </w:tr>
      <w:tr w14:paraId="641F4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C713A1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63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48E0F3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Pomoći iz inozemstva i od subjekata unutar općeg proračuna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EAC5D6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45.506,25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BB46A74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149.728,20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364911A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160.925,27</w:t>
            </w:r>
          </w:p>
        </w:tc>
      </w:tr>
      <w:tr w14:paraId="66A69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EB34171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65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DE2600B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Prihodi od upravnih i administrativnih pristojbi, pristojbi po posebnim propisima i naknada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8B7796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46.856,93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779D6C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149.681,86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DEE93D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156.189,76</w:t>
            </w:r>
          </w:p>
        </w:tc>
      </w:tr>
      <w:tr w14:paraId="4EF17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0975662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66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8D9AF76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Prihodi od prodaje proizvoda i robe te pruženih usluga, prihodi od donacija i ostali prihodi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22D351C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2.000,00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5B3496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6.000,00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4FD27ED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6.150,00</w:t>
            </w:r>
          </w:p>
        </w:tc>
      </w:tr>
      <w:tr w14:paraId="62118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0DD6ADB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67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591D49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Prihodi iz nadležnog proračuna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C56F89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139.921,46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3549178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432.511,68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E5D72FE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446.055,47</w:t>
            </w:r>
          </w:p>
        </w:tc>
      </w:tr>
      <w:tr w14:paraId="2ABF1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2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5B3B38C">
            <w:pPr>
              <w:jc w:val="center"/>
              <w:rPr>
                <w:lang w:val="hr-HR"/>
              </w:rPr>
            </w:pPr>
          </w:p>
        </w:tc>
        <w:tc>
          <w:tcPr>
            <w:tcW w:w="899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FBF5FF">
            <w:pPr>
              <w:rPr>
                <w:lang w:val="hr-HR"/>
              </w:rPr>
            </w:pPr>
            <w:r>
              <w:rPr>
                <w:b/>
                <w:color w:val="000000"/>
                <w:sz w:val="18"/>
                <w:lang w:val="hr-HR"/>
              </w:rPr>
              <w:t>UKUPNO PRIHODI</w:t>
            </w:r>
          </w:p>
        </w:tc>
        <w:tc>
          <w:tcPr>
            <w:tcW w:w="2284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219264F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234.284,64</w:t>
            </w:r>
          </w:p>
        </w:tc>
        <w:tc>
          <w:tcPr>
            <w:tcW w:w="185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9DF630B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737.921,74</w:t>
            </w:r>
          </w:p>
        </w:tc>
        <w:tc>
          <w:tcPr>
            <w:tcW w:w="185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9E75545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769.320,50</w:t>
            </w:r>
          </w:p>
        </w:tc>
      </w:tr>
    </w:tbl>
    <w:p w14:paraId="7F30022C">
      <w:pPr>
        <w:rPr>
          <w:lang w:val="hr-HR"/>
        </w:rPr>
        <w:sectPr>
          <w:footerReference r:id="rId7" w:type="default"/>
          <w:pgSz w:w="16838" w:h="11905" w:orient="landscape"/>
          <w:pgMar w:top="648" w:right="360" w:bottom="648" w:left="360" w:header="288" w:footer="288" w:gutter="0"/>
          <w:cols w:space="720" w:num="1"/>
          <w:docGrid w:linePitch="360" w:charSpace="0"/>
        </w:sectPr>
      </w:pPr>
    </w:p>
    <w:tbl>
      <w:tblPr>
        <w:tblStyle w:val="12"/>
        <w:tblW w:w="161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9014"/>
        <w:gridCol w:w="2289"/>
        <w:gridCol w:w="1859"/>
        <w:gridCol w:w="1859"/>
      </w:tblGrid>
      <w:tr w14:paraId="27E7B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6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FD05F5F">
            <w:pPr>
              <w:jc w:val="center"/>
              <w:rPr>
                <w:lang w:val="hr-HR"/>
              </w:rPr>
            </w:pPr>
            <w:r>
              <w:rPr>
                <w:b/>
                <w:color w:val="000000"/>
                <w:lang w:val="hr-HR"/>
              </w:rPr>
              <w:t>A. RAČUN PRIHODA I RASHODA</w:t>
            </w:r>
          </w:p>
        </w:tc>
      </w:tr>
      <w:tr w14:paraId="6A84A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C4C3FC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A1. PRIHODI I RASHODI PREMA EKONOMSKOJ KLASIFIKACIJI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9F8313">
            <w:pPr>
              <w:rPr>
                <w:lang w:val="hr-HR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A74325D">
            <w:pPr>
              <w:rPr>
                <w:lang w:val="hr-HR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BCF80C">
            <w:pPr>
              <w:rPr>
                <w:lang w:val="hr-HR"/>
              </w:rPr>
            </w:pPr>
          </w:p>
        </w:tc>
      </w:tr>
      <w:tr w14:paraId="34CE3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A979AF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A.1.2. RASHODI PREMA EKONOMSKOJ KLASIFIKACIJI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1AE372C">
            <w:pPr>
              <w:rPr>
                <w:lang w:val="hr-HR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3874B8F">
            <w:pPr>
              <w:rPr>
                <w:lang w:val="hr-HR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6A65BF">
            <w:pPr>
              <w:rPr>
                <w:lang w:val="hr-HR"/>
              </w:rPr>
            </w:pPr>
          </w:p>
        </w:tc>
      </w:tr>
      <w:tr w14:paraId="35271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791FD">
            <w:pPr>
              <w:rPr>
                <w:lang w:val="hr-HR"/>
              </w:rPr>
            </w:pP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088090">
            <w:pPr>
              <w:rPr>
                <w:lang w:val="hr-H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38CC22">
            <w:pPr>
              <w:rPr>
                <w:lang w:val="hr-HR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4FC1A8E">
            <w:pPr>
              <w:rPr>
                <w:lang w:val="hr-HR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938A23">
            <w:pPr>
              <w:rPr>
                <w:lang w:val="hr-HR"/>
              </w:rPr>
            </w:pPr>
          </w:p>
        </w:tc>
      </w:tr>
      <w:tr w14:paraId="0E722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8C27C04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Razred/skupina</w:t>
            </w:r>
          </w:p>
        </w:tc>
        <w:tc>
          <w:tcPr>
            <w:tcW w:w="901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1C6B97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Naziv</w:t>
            </w:r>
          </w:p>
        </w:tc>
        <w:tc>
          <w:tcPr>
            <w:tcW w:w="22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55833EF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Plan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2026 (1.9.–31.12.)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3CD1483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Projekcija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2027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D98EABD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Projekcija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2028</w:t>
            </w:r>
          </w:p>
        </w:tc>
      </w:tr>
      <w:tr w14:paraId="34040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C2704EA">
            <w:pPr>
              <w:rPr>
                <w:lang w:val="hr-HR"/>
              </w:rPr>
            </w:pPr>
            <w:r>
              <w:rPr>
                <w:b/>
                <w:color w:val="000000"/>
                <w:sz w:val="18"/>
                <w:lang w:val="hr-HR"/>
              </w:rPr>
              <w:t>3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F467D7">
            <w:pPr>
              <w:rPr>
                <w:lang w:val="hr-HR"/>
              </w:rPr>
            </w:pPr>
            <w:r>
              <w:rPr>
                <w:b/>
                <w:color w:val="000000"/>
                <w:sz w:val="18"/>
                <w:lang w:val="hr-HR"/>
              </w:rPr>
              <w:t>RASHODI POSLOVANJA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E406CFC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229.984,64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A1DD21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721.921,74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AD362B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749.320,50</w:t>
            </w:r>
          </w:p>
        </w:tc>
      </w:tr>
      <w:tr w14:paraId="76362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AC7CC0">
            <w:pPr>
              <w:rPr>
                <w:lang w:val="hr-HR"/>
              </w:rPr>
            </w:pPr>
            <w:r>
              <w:rPr>
                <w:b/>
                <w:color w:val="000000"/>
                <w:sz w:val="18"/>
                <w:lang w:val="hr-HR"/>
              </w:rPr>
              <w:t>31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C3A8DD8">
            <w:pPr>
              <w:rPr>
                <w:lang w:val="hr-HR"/>
              </w:rPr>
            </w:pPr>
            <w:r>
              <w:rPr>
                <w:b/>
                <w:color w:val="000000"/>
                <w:sz w:val="18"/>
                <w:lang w:val="hr-HR"/>
              </w:rPr>
              <w:t>Rashodi za zaposlene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D6064DE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177.218,98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60A8AD7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553.929,88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D7D2D0C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573.130,50</w:t>
            </w:r>
          </w:p>
        </w:tc>
      </w:tr>
      <w:tr w14:paraId="51085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BBF218">
            <w:pPr>
              <w:rPr>
                <w:lang w:val="hr-HR"/>
              </w:rPr>
            </w:pPr>
            <w:r>
              <w:rPr>
                <w:i/>
                <w:color w:val="000000"/>
                <w:sz w:val="18"/>
                <w:lang w:val="hr-HR"/>
              </w:rPr>
              <w:t>311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3433C7D">
            <w:pPr>
              <w:rPr>
                <w:lang w:val="hr-HR"/>
              </w:rPr>
            </w:pPr>
            <w:r>
              <w:rPr>
                <w:i/>
                <w:color w:val="000000"/>
                <w:sz w:val="18"/>
                <w:lang w:val="hr-HR"/>
              </w:rPr>
              <w:t>Bruto I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57462FA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145.216,58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D05C2F2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454.146,89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114AB9C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469.988,23</w:t>
            </w:r>
          </w:p>
        </w:tc>
      </w:tr>
      <w:tr w14:paraId="082F2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7EBCD6F">
            <w:pPr>
              <w:rPr>
                <w:lang w:val="hr-HR"/>
              </w:rPr>
            </w:pPr>
            <w:r>
              <w:rPr>
                <w:i/>
                <w:color w:val="000000"/>
                <w:sz w:val="18"/>
                <w:lang w:val="hr-HR"/>
              </w:rPr>
              <w:t>312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35001A">
            <w:pPr>
              <w:rPr>
                <w:lang w:val="hr-HR"/>
              </w:rPr>
            </w:pPr>
            <w:r>
              <w:rPr>
                <w:i/>
                <w:color w:val="000000"/>
                <w:sz w:val="18"/>
                <w:lang w:val="hr-HR"/>
              </w:rPr>
              <w:t>Ostali rashodi za zaposlene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851CB0C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8.041,67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E770E3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24.848,75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DE29306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25.594,21</w:t>
            </w:r>
          </w:p>
        </w:tc>
      </w:tr>
      <w:tr w14:paraId="454B7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54BED3B">
            <w:pPr>
              <w:rPr>
                <w:lang w:val="hr-HR"/>
              </w:rPr>
            </w:pPr>
            <w:r>
              <w:rPr>
                <w:i/>
                <w:color w:val="000000"/>
                <w:sz w:val="18"/>
                <w:lang w:val="hr-HR"/>
              </w:rPr>
              <w:t>313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CD8AFE6">
            <w:pPr>
              <w:rPr>
                <w:lang w:val="hr-HR"/>
              </w:rPr>
            </w:pPr>
            <w:r>
              <w:rPr>
                <w:i/>
                <w:color w:val="000000"/>
                <w:sz w:val="18"/>
                <w:lang w:val="hr-HR"/>
              </w:rPr>
              <w:t xml:space="preserve">Doprinosi 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FE0DEA0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23.960,73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0C97253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74.934,24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339798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77.548,06</w:t>
            </w:r>
          </w:p>
        </w:tc>
      </w:tr>
      <w:tr w14:paraId="39D0A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B92A0BD">
            <w:pPr>
              <w:rPr>
                <w:lang w:val="hr-HR"/>
              </w:rPr>
            </w:pPr>
            <w:r>
              <w:rPr>
                <w:b/>
                <w:color w:val="000000"/>
                <w:sz w:val="18"/>
                <w:lang w:val="hr-HR"/>
              </w:rPr>
              <w:t>32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32D72B6">
            <w:pPr>
              <w:rPr>
                <w:lang w:val="hr-HR"/>
              </w:rPr>
            </w:pPr>
            <w:r>
              <w:rPr>
                <w:b/>
                <w:color w:val="000000"/>
                <w:sz w:val="18"/>
                <w:lang w:val="hr-HR"/>
              </w:rPr>
              <w:t>Materijalni rashodi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1969A4A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52.365,67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A9F17C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166.755,86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7A1EB68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174.923,10</w:t>
            </w:r>
          </w:p>
        </w:tc>
      </w:tr>
      <w:tr w14:paraId="11FC4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3D3E929">
            <w:pPr>
              <w:rPr>
                <w:lang w:val="hr-HR"/>
              </w:rPr>
            </w:pPr>
            <w:r>
              <w:rPr>
                <w:i/>
                <w:color w:val="000000"/>
                <w:sz w:val="18"/>
                <w:lang w:val="hr-HR"/>
              </w:rPr>
              <w:t>321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3A4926D">
            <w:pPr>
              <w:rPr>
                <w:lang w:val="hr-HR"/>
              </w:rPr>
            </w:pPr>
            <w:r>
              <w:rPr>
                <w:i/>
                <w:color w:val="000000"/>
                <w:sz w:val="18"/>
                <w:lang w:val="hr-HR"/>
              </w:rPr>
              <w:t>Naknade troškova zaposlenima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9232D8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5.404,00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B55ABD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16.698,36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266EF70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17.199,31</w:t>
            </w:r>
          </w:p>
        </w:tc>
      </w:tr>
      <w:tr w14:paraId="1EE09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873AAB">
            <w:pPr>
              <w:rPr>
                <w:lang w:val="hr-HR"/>
              </w:rPr>
            </w:pPr>
            <w:r>
              <w:rPr>
                <w:i/>
                <w:color w:val="000000"/>
                <w:sz w:val="18"/>
                <w:lang w:val="hr-HR"/>
              </w:rPr>
              <w:t>322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CE261ED">
            <w:pPr>
              <w:rPr>
                <w:lang w:val="hr-HR"/>
              </w:rPr>
            </w:pPr>
            <w:r>
              <w:rPr>
                <w:i/>
                <w:color w:val="000000"/>
                <w:sz w:val="18"/>
                <w:lang w:val="hr-HR"/>
              </w:rPr>
              <w:t>Rashodi za materijal i energiju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3D39697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35.721,67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745025D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114.677,00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D7865A7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120.983,69</w:t>
            </w:r>
          </w:p>
        </w:tc>
      </w:tr>
      <w:tr w14:paraId="0CF32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FB913C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3221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5FF7C9E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Uredski i didaktički materijal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55CA0B9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4.320,00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8EC58F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14.214,00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93DA517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15.202,80</w:t>
            </w:r>
          </w:p>
        </w:tc>
      </w:tr>
      <w:tr w14:paraId="10A93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5D7CEA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3222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88E1BA4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Hrana i namirnice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C71501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17.280,00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7DAA91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56.856,00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056965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61.107,84</w:t>
            </w:r>
          </w:p>
        </w:tc>
      </w:tr>
      <w:tr w14:paraId="7F814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B12AF6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3223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5C9FF47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Energija (struja i plin)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1530D74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12.000,00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37D9A1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37.080,00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BA4E20F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38.007,00</w:t>
            </w:r>
          </w:p>
        </w:tc>
      </w:tr>
      <w:tr w14:paraId="242CE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D738EC9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3224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396426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Materijal za održavanje i čišćenje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C3E94F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1.800,00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7DA5DEE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5.562,00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F525252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5.701,05</w:t>
            </w:r>
          </w:p>
        </w:tc>
      </w:tr>
      <w:tr w14:paraId="62258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65CE01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3225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9CE3B0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Službena, radna i zaštitna odjeća i obuća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3D7C349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321,67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76B9405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965,00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51A6F1E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965,00</w:t>
            </w:r>
          </w:p>
        </w:tc>
      </w:tr>
      <w:tr w14:paraId="75451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51B7E4E">
            <w:pPr>
              <w:rPr>
                <w:lang w:val="hr-HR"/>
              </w:rPr>
            </w:pPr>
            <w:r>
              <w:rPr>
                <w:i/>
                <w:color w:val="000000"/>
                <w:sz w:val="18"/>
                <w:lang w:val="hr-HR"/>
              </w:rPr>
              <w:t>323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C94F21">
            <w:pPr>
              <w:rPr>
                <w:lang w:val="hr-HR"/>
              </w:rPr>
            </w:pPr>
            <w:r>
              <w:rPr>
                <w:i/>
                <w:color w:val="000000"/>
                <w:sz w:val="18"/>
                <w:lang w:val="hr-HR"/>
              </w:rPr>
              <w:t>Rashodi za usluge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7ED61D5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9.260,00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CEEEBD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28.865,75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5A991A4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29.772,15</w:t>
            </w:r>
          </w:p>
        </w:tc>
      </w:tr>
      <w:tr w14:paraId="14855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69A91F9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3231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2DEEA7B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Telefon, pošta, internet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CD62F3F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400,00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FDF776E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1.236,00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F56DE2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1.266,90</w:t>
            </w:r>
          </w:p>
        </w:tc>
      </w:tr>
      <w:tr w14:paraId="30BB8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50D5C8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3232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26391D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Tekuće i investicijsko održavanje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69F71C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2.000,00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739C464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6.180,00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E2FF44A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6.334,50</w:t>
            </w:r>
          </w:p>
        </w:tc>
      </w:tr>
      <w:tr w14:paraId="01A8C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5D27F90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3234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7748B3C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Komunalne usluge (voda, otpad)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D0E410E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2.000,00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6E2A222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6.180,00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F72C97E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6.334,50</w:t>
            </w:r>
          </w:p>
        </w:tc>
      </w:tr>
      <w:tr w14:paraId="27488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35F2848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3236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993943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Zdravstvene i veterinarske usluge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367BE1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1.260,00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3B5DF3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4.145,75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900CD0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4.434,15</w:t>
            </w:r>
          </w:p>
        </w:tc>
      </w:tr>
      <w:tr w14:paraId="215B5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exac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E65805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3237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3CB6C1E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Intelektualne i osobne usluge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DFF8C7F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2.800,00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FBDB68E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8.652,00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C115E4B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8.868,30</w:t>
            </w:r>
          </w:p>
        </w:tc>
      </w:tr>
      <w:tr w14:paraId="2DBC1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7DB1D48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3238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FF1E29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Računalne usluge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534DDEA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400,00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323DBD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1.236,00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774C6E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1.266,90</w:t>
            </w:r>
          </w:p>
        </w:tc>
      </w:tr>
      <w:tr w14:paraId="5EB3F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2DE219B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3239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BBFE91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Ostale usluge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D21D08D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400,00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54A7CD4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1.236,00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A38F0F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1.266,90</w:t>
            </w:r>
          </w:p>
        </w:tc>
      </w:tr>
      <w:tr w14:paraId="7AE20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8D2EC63">
            <w:pPr>
              <w:rPr>
                <w:lang w:val="hr-HR"/>
              </w:rPr>
            </w:pPr>
            <w:r>
              <w:rPr>
                <w:i/>
                <w:color w:val="000000"/>
                <w:sz w:val="18"/>
                <w:lang w:val="hr-HR"/>
              </w:rPr>
              <w:t>329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EC36EA8">
            <w:pPr>
              <w:rPr>
                <w:lang w:val="hr-HR"/>
              </w:rPr>
            </w:pPr>
            <w:r>
              <w:rPr>
                <w:i/>
                <w:color w:val="000000"/>
                <w:sz w:val="18"/>
                <w:lang w:val="hr-HR"/>
              </w:rPr>
              <w:t>Ostali nespomenuti rashodi poslovanja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A78CA97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1.980,00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700FF77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6.514,75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C552E67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6.967,95</w:t>
            </w:r>
          </w:p>
        </w:tc>
      </w:tr>
      <w:tr w14:paraId="51C1A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CEA630D">
            <w:pPr>
              <w:rPr>
                <w:lang w:val="hr-HR"/>
              </w:rPr>
            </w:pPr>
            <w:r>
              <w:rPr>
                <w:b/>
                <w:color w:val="000000"/>
                <w:sz w:val="18"/>
                <w:lang w:val="hr-HR"/>
              </w:rPr>
              <w:t>34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6E6C582">
            <w:pPr>
              <w:rPr>
                <w:lang w:val="hr-HR"/>
              </w:rPr>
            </w:pPr>
            <w:r>
              <w:rPr>
                <w:b/>
                <w:color w:val="000000"/>
                <w:sz w:val="18"/>
                <w:lang w:val="hr-HR"/>
              </w:rPr>
              <w:t>Financijski rashodi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33F99F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400,00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FC2A18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1.236,00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E7B2C3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1.266,90</w:t>
            </w:r>
          </w:p>
        </w:tc>
      </w:tr>
      <w:tr w14:paraId="60B1E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25F6C7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3431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478F588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Bankarske usluge i usluge platnog prometa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700F97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400,00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912DBA2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1.236,00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80D680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1.266,90</w:t>
            </w:r>
          </w:p>
        </w:tc>
      </w:tr>
      <w:tr w14:paraId="4805B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204F15">
            <w:pPr>
              <w:rPr>
                <w:lang w:val="hr-HR"/>
              </w:rPr>
            </w:pPr>
            <w:r>
              <w:rPr>
                <w:b/>
                <w:color w:val="000000"/>
                <w:sz w:val="18"/>
                <w:lang w:val="hr-HR"/>
              </w:rPr>
              <w:t>4</w:t>
            </w:r>
          </w:p>
        </w:tc>
        <w:tc>
          <w:tcPr>
            <w:tcW w:w="9014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686A4FC">
            <w:pPr>
              <w:rPr>
                <w:lang w:val="hr-HR"/>
              </w:rPr>
            </w:pPr>
            <w:r>
              <w:rPr>
                <w:b/>
                <w:color w:val="000000"/>
                <w:sz w:val="18"/>
                <w:lang w:val="hr-HR"/>
              </w:rPr>
              <w:t>RASHODI ZA NABAVU NEFINANCIJSKE IMOVNE</w:t>
            </w:r>
          </w:p>
        </w:tc>
        <w:tc>
          <w:tcPr>
            <w:tcW w:w="2289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6740E8B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4.300,00</w:t>
            </w:r>
          </w:p>
        </w:tc>
        <w:tc>
          <w:tcPr>
            <w:tcW w:w="1859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D5ED0C6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16.000,00</w:t>
            </w:r>
          </w:p>
        </w:tc>
        <w:tc>
          <w:tcPr>
            <w:tcW w:w="1859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97C1386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20.000,00</w:t>
            </w:r>
          </w:p>
        </w:tc>
      </w:tr>
      <w:tr w14:paraId="5F7F7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F0EACD5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42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092A5E">
            <w:pPr>
              <w:rPr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>Rashodi za nabavu proizvedene dugotrajne imovine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7AB1A76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4.300,00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22F130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16.000,00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98BB3D9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20.000,00</w:t>
            </w:r>
          </w:p>
        </w:tc>
      </w:tr>
      <w:tr w14:paraId="2F6A2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7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90CBF62">
            <w:pPr>
              <w:rPr>
                <w:lang w:val="hr-HR"/>
              </w:rPr>
            </w:pPr>
          </w:p>
        </w:tc>
        <w:tc>
          <w:tcPr>
            <w:tcW w:w="9014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916F79B">
            <w:pPr>
              <w:rPr>
                <w:lang w:val="hr-HR"/>
              </w:rPr>
            </w:pPr>
            <w:r>
              <w:rPr>
                <w:b/>
                <w:color w:val="000000"/>
                <w:sz w:val="18"/>
                <w:lang w:val="hr-HR"/>
              </w:rPr>
              <w:t>UKUPNO RASHODI</w:t>
            </w:r>
          </w:p>
        </w:tc>
        <w:tc>
          <w:tcPr>
            <w:tcW w:w="2289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125C974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234.284,64</w:t>
            </w:r>
          </w:p>
        </w:tc>
        <w:tc>
          <w:tcPr>
            <w:tcW w:w="1859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AE404E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737.921,74</w:t>
            </w:r>
          </w:p>
        </w:tc>
        <w:tc>
          <w:tcPr>
            <w:tcW w:w="1859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E5D004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769.320,50</w:t>
            </w:r>
          </w:p>
        </w:tc>
      </w:tr>
    </w:tbl>
    <w:p w14:paraId="168AC6AE">
      <w:pPr>
        <w:rPr>
          <w:lang w:val="hr-HR"/>
        </w:rPr>
        <w:sectPr>
          <w:footerReference r:id="rId8" w:type="default"/>
          <w:pgSz w:w="16838" w:h="11905" w:orient="landscape"/>
          <w:pgMar w:top="648" w:right="360" w:bottom="648" w:left="360" w:header="288" w:footer="288" w:gutter="0"/>
          <w:cols w:space="720" w:num="1"/>
          <w:docGrid w:linePitch="360" w:charSpace="0"/>
        </w:sectPr>
      </w:pPr>
    </w:p>
    <w:tbl>
      <w:tblPr>
        <w:tblStyle w:val="12"/>
        <w:tblW w:w="161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8968"/>
        <w:gridCol w:w="2314"/>
        <w:gridCol w:w="1880"/>
        <w:gridCol w:w="1880"/>
      </w:tblGrid>
      <w:tr w14:paraId="1D681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6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4F4C64B">
            <w:pPr>
              <w:jc w:val="center"/>
              <w:rPr>
                <w:lang w:val="hr-HR"/>
              </w:rPr>
            </w:pPr>
            <w:r>
              <w:rPr>
                <w:b/>
                <w:lang w:val="hr-HR"/>
              </w:rPr>
              <w:t>A. RAČUN PRIHODA I RASHODA</w:t>
            </w:r>
          </w:p>
        </w:tc>
      </w:tr>
      <w:tr w14:paraId="15290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03BE2B0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A2. PRIHODI I RASHODI PREMA IZVORIMA FINANCIRANJA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474561A">
            <w:pPr>
              <w:rPr>
                <w:lang w:val="hr-H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E17E6F4">
            <w:pPr>
              <w:rPr>
                <w:lang w:val="hr-H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60411BA">
            <w:pPr>
              <w:rPr>
                <w:lang w:val="hr-HR"/>
              </w:rPr>
            </w:pPr>
          </w:p>
        </w:tc>
      </w:tr>
      <w:tr w14:paraId="4A7A6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73AA235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A2.1. PRIHODI PREMA IZVORIMA FINANCIRANJA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6D955C">
            <w:pPr>
              <w:rPr>
                <w:lang w:val="hr-H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A07B68C">
            <w:pPr>
              <w:rPr>
                <w:lang w:val="hr-H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4F307AE">
            <w:pPr>
              <w:rPr>
                <w:lang w:val="hr-HR"/>
              </w:rPr>
            </w:pPr>
          </w:p>
        </w:tc>
      </w:tr>
      <w:tr w14:paraId="237D3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556F3AC">
            <w:pPr>
              <w:rPr>
                <w:lang w:val="hr-HR"/>
              </w:rPr>
            </w:pPr>
          </w:p>
        </w:tc>
        <w:tc>
          <w:tcPr>
            <w:tcW w:w="8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CEF3C4">
            <w:pPr>
              <w:rPr>
                <w:lang w:val="hr-HR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6A575B">
            <w:pPr>
              <w:rPr>
                <w:lang w:val="hr-H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BA61DE4">
            <w:pPr>
              <w:rPr>
                <w:lang w:val="hr-H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D599E1">
            <w:pPr>
              <w:rPr>
                <w:lang w:val="hr-HR"/>
              </w:rPr>
            </w:pPr>
          </w:p>
        </w:tc>
      </w:tr>
      <w:tr w14:paraId="6BA7A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107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5827351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Izvor</w:t>
            </w:r>
          </w:p>
        </w:tc>
        <w:tc>
          <w:tcPr>
            <w:tcW w:w="896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8EA8FE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Naziv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3F5E574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Plan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2026 (1.9.–31.12.)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B704A11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Projekcija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2027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D62720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Projekcija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2028</w:t>
            </w:r>
          </w:p>
        </w:tc>
      </w:tr>
      <w:tr w14:paraId="181D7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7A7604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</w:t>
            </w:r>
          </w:p>
        </w:tc>
        <w:tc>
          <w:tcPr>
            <w:tcW w:w="8968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0E3AD0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Opći prihodi i primici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7F322B8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139.921,46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87A890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432.511,68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05A6D3D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446.055,47</w:t>
            </w:r>
          </w:p>
        </w:tc>
      </w:tr>
      <w:tr w14:paraId="2A0B6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D73E382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11</w:t>
            </w:r>
          </w:p>
        </w:tc>
        <w:tc>
          <w:tcPr>
            <w:tcW w:w="8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1EBBA3C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Opći prihodi i primici – Općina Pribislavec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B5458A0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139.921,46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DD8E13F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432.511,68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45EFC0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446.055,47</w:t>
            </w:r>
          </w:p>
        </w:tc>
      </w:tr>
      <w:tr w14:paraId="43790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24692E7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3</w:t>
            </w:r>
          </w:p>
        </w:tc>
        <w:tc>
          <w:tcPr>
            <w:tcW w:w="8968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87E7159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Vlastiti prihodi / prihodi po posebnim propisima</w:t>
            </w:r>
          </w:p>
        </w:tc>
        <w:tc>
          <w:tcPr>
            <w:tcW w:w="2314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CF3D78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46.856,93</w:t>
            </w:r>
          </w:p>
        </w:tc>
        <w:tc>
          <w:tcPr>
            <w:tcW w:w="1880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761223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149.681,86</w:t>
            </w:r>
          </w:p>
        </w:tc>
        <w:tc>
          <w:tcPr>
            <w:tcW w:w="1880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EA2B7FB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156.189,76</w:t>
            </w:r>
          </w:p>
        </w:tc>
      </w:tr>
      <w:tr w14:paraId="4DF48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255119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31</w:t>
            </w:r>
          </w:p>
        </w:tc>
        <w:tc>
          <w:tcPr>
            <w:tcW w:w="8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0A4F25E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Participacije roditelja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F2C229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46.856,93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60F79B4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149.681,86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ABCF44A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156.189,76</w:t>
            </w:r>
          </w:p>
        </w:tc>
      </w:tr>
      <w:tr w14:paraId="30CCD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8A469C8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5</w:t>
            </w:r>
          </w:p>
        </w:tc>
        <w:tc>
          <w:tcPr>
            <w:tcW w:w="8968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7ADDDF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Pomoći</w:t>
            </w:r>
          </w:p>
        </w:tc>
        <w:tc>
          <w:tcPr>
            <w:tcW w:w="2314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29E810B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45.506,25</w:t>
            </w:r>
          </w:p>
        </w:tc>
        <w:tc>
          <w:tcPr>
            <w:tcW w:w="1880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5C92BFC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149.728,20</w:t>
            </w:r>
          </w:p>
        </w:tc>
        <w:tc>
          <w:tcPr>
            <w:tcW w:w="1880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A923BC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160.925,27</w:t>
            </w:r>
          </w:p>
        </w:tc>
      </w:tr>
      <w:tr w14:paraId="45B1E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D1B6FE0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50</w:t>
            </w:r>
          </w:p>
        </w:tc>
        <w:tc>
          <w:tcPr>
            <w:tcW w:w="8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09FAB41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Pomoći iz državnog proračuna / fiskalna održivost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879D65F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45.506,25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521DAB9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149.728,20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ED0A760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160.925,27</w:t>
            </w:r>
          </w:p>
        </w:tc>
      </w:tr>
      <w:tr w14:paraId="239F8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415298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6</w:t>
            </w:r>
          </w:p>
        </w:tc>
        <w:tc>
          <w:tcPr>
            <w:tcW w:w="8968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0A6489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Donacije i ostali prihodi</w:t>
            </w:r>
          </w:p>
        </w:tc>
        <w:tc>
          <w:tcPr>
            <w:tcW w:w="2314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BFDB5F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2.000,00</w:t>
            </w:r>
          </w:p>
        </w:tc>
        <w:tc>
          <w:tcPr>
            <w:tcW w:w="1880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4FB22A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6.000,00</w:t>
            </w:r>
          </w:p>
        </w:tc>
        <w:tc>
          <w:tcPr>
            <w:tcW w:w="1880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972C940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6.150,00</w:t>
            </w:r>
          </w:p>
        </w:tc>
      </w:tr>
      <w:tr w14:paraId="4CFD3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115908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60</w:t>
            </w:r>
          </w:p>
        </w:tc>
        <w:tc>
          <w:tcPr>
            <w:tcW w:w="8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3915F46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Donacije i ostali prihodi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00D254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2.000,00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991A873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6.000,00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3F805A4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6.150,00</w:t>
            </w:r>
          </w:p>
        </w:tc>
      </w:tr>
      <w:tr w14:paraId="77DBF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5F16EB">
            <w:pPr>
              <w:jc w:val="center"/>
              <w:rPr>
                <w:lang w:val="hr-HR"/>
              </w:rPr>
            </w:pPr>
          </w:p>
        </w:tc>
        <w:tc>
          <w:tcPr>
            <w:tcW w:w="8968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FEFECD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UKUPNO PRIHODI</w:t>
            </w:r>
          </w:p>
        </w:tc>
        <w:tc>
          <w:tcPr>
            <w:tcW w:w="2314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B81D89C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234.284,64</w:t>
            </w:r>
          </w:p>
        </w:tc>
        <w:tc>
          <w:tcPr>
            <w:tcW w:w="1880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F5FC637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737.921,74</w:t>
            </w:r>
          </w:p>
        </w:tc>
        <w:tc>
          <w:tcPr>
            <w:tcW w:w="1880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441B66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769.320,50</w:t>
            </w:r>
          </w:p>
        </w:tc>
      </w:tr>
    </w:tbl>
    <w:p w14:paraId="4C712923">
      <w:pPr>
        <w:rPr>
          <w:lang w:val="hr-HR"/>
        </w:rPr>
        <w:sectPr>
          <w:footerReference r:id="rId9" w:type="default"/>
          <w:pgSz w:w="16838" w:h="11905" w:orient="landscape"/>
          <w:pgMar w:top="648" w:right="360" w:bottom="648" w:left="360" w:header="288" w:footer="288" w:gutter="0"/>
          <w:cols w:space="720" w:num="1"/>
          <w:docGrid w:linePitch="360" w:charSpace="0"/>
        </w:sectPr>
      </w:pPr>
    </w:p>
    <w:tbl>
      <w:tblPr>
        <w:tblStyle w:val="12"/>
        <w:tblW w:w="161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8976"/>
        <w:gridCol w:w="2316"/>
        <w:gridCol w:w="1882"/>
        <w:gridCol w:w="1882"/>
      </w:tblGrid>
      <w:tr w14:paraId="49B8E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6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C440D24">
            <w:pPr>
              <w:jc w:val="center"/>
              <w:rPr>
                <w:lang w:val="hr-HR"/>
              </w:rPr>
            </w:pPr>
            <w:r>
              <w:rPr>
                <w:b/>
                <w:lang w:val="hr-HR"/>
              </w:rPr>
              <w:t>A. RAČUN PRIHODA I RASHODA</w:t>
            </w:r>
          </w:p>
        </w:tc>
      </w:tr>
      <w:tr w14:paraId="787F4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3A3498D">
            <w:pPr>
              <w:jc w:val="both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A2. PRIHODI I RASHODI PREMA IZVORIMA FINANCIRANJA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A496E61">
            <w:pPr>
              <w:rPr>
                <w:lang w:val="hr-HR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E1C5600">
            <w:pPr>
              <w:rPr>
                <w:lang w:val="hr-HR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01C4B3E">
            <w:pPr>
              <w:rPr>
                <w:lang w:val="hr-HR"/>
              </w:rPr>
            </w:pPr>
          </w:p>
        </w:tc>
      </w:tr>
      <w:tr w14:paraId="21327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853FFC9">
            <w:pPr>
              <w:jc w:val="both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A2.2. RASHODI PREMA IZVORIMA FINANCIRANJA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988B58E">
            <w:pPr>
              <w:rPr>
                <w:lang w:val="hr-HR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AA0C3D">
            <w:pPr>
              <w:rPr>
                <w:lang w:val="hr-HR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2A4392E">
            <w:pPr>
              <w:rPr>
                <w:lang w:val="hr-HR"/>
              </w:rPr>
            </w:pPr>
          </w:p>
        </w:tc>
      </w:tr>
      <w:tr w14:paraId="0FD22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D80AC4">
            <w:pPr>
              <w:rPr>
                <w:lang w:val="hr-HR"/>
              </w:rPr>
            </w:pPr>
          </w:p>
        </w:tc>
        <w:tc>
          <w:tcPr>
            <w:tcW w:w="8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21C4CB">
            <w:pPr>
              <w:rPr>
                <w:lang w:val="hr-H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1874D14">
            <w:pPr>
              <w:rPr>
                <w:lang w:val="hr-HR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EA4CDFC">
            <w:pPr>
              <w:rPr>
                <w:lang w:val="hr-HR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37F2599">
            <w:pPr>
              <w:rPr>
                <w:lang w:val="hr-HR"/>
              </w:rPr>
            </w:pPr>
          </w:p>
        </w:tc>
      </w:tr>
      <w:tr w14:paraId="335D3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106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DCEF27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Izvor</w:t>
            </w:r>
          </w:p>
        </w:tc>
        <w:tc>
          <w:tcPr>
            <w:tcW w:w="897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2CF707B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Naziv</w:t>
            </w:r>
          </w:p>
        </w:tc>
        <w:tc>
          <w:tcPr>
            <w:tcW w:w="23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1AD2D6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Plan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2026 (1.9.–31.12.)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171F68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Projekcija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2027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51C8D16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Projekcija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2028</w:t>
            </w:r>
          </w:p>
        </w:tc>
      </w:tr>
      <w:tr w14:paraId="013F5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90FF37E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</w:t>
            </w:r>
          </w:p>
        </w:tc>
        <w:tc>
          <w:tcPr>
            <w:tcW w:w="8976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3FCFB1F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Opći prihodi i primici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B3A9FA3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139.921,46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30B2614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432.511,68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DC09C78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446.055,47</w:t>
            </w:r>
          </w:p>
        </w:tc>
      </w:tr>
      <w:tr w14:paraId="78058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68CF399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11</w:t>
            </w:r>
          </w:p>
        </w:tc>
        <w:tc>
          <w:tcPr>
            <w:tcW w:w="8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6A1A57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Opći prihodi i primici – Općina Pribislavec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9812DE2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139.921,46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BCA0C5F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432.511,68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149671E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446.055,47</w:t>
            </w:r>
          </w:p>
        </w:tc>
      </w:tr>
      <w:tr w14:paraId="3E736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6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7CFBBF1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3</w:t>
            </w:r>
          </w:p>
        </w:tc>
        <w:tc>
          <w:tcPr>
            <w:tcW w:w="897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769D48F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Vlastiti prihodi / prihodi po posebnim propisima</w:t>
            </w:r>
          </w:p>
        </w:tc>
        <w:tc>
          <w:tcPr>
            <w:tcW w:w="231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0C3AC8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46.856,93</w:t>
            </w:r>
          </w:p>
        </w:tc>
        <w:tc>
          <w:tcPr>
            <w:tcW w:w="188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37D369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149.681,86</w:t>
            </w:r>
          </w:p>
        </w:tc>
        <w:tc>
          <w:tcPr>
            <w:tcW w:w="188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AB64B4B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156.189,76</w:t>
            </w:r>
          </w:p>
        </w:tc>
      </w:tr>
      <w:tr w14:paraId="4ACD3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C7D7BEC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31</w:t>
            </w:r>
          </w:p>
        </w:tc>
        <w:tc>
          <w:tcPr>
            <w:tcW w:w="8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508031F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Participacije roditelja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F6C95CD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46.856,93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3BBB5A2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149.681,86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333F1BA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156.189,76</w:t>
            </w:r>
          </w:p>
        </w:tc>
      </w:tr>
      <w:tr w14:paraId="6071D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6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1BF273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5</w:t>
            </w:r>
          </w:p>
        </w:tc>
        <w:tc>
          <w:tcPr>
            <w:tcW w:w="897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30F773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Pomoći</w:t>
            </w:r>
          </w:p>
        </w:tc>
        <w:tc>
          <w:tcPr>
            <w:tcW w:w="231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91D02A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45.506,25</w:t>
            </w:r>
          </w:p>
        </w:tc>
        <w:tc>
          <w:tcPr>
            <w:tcW w:w="188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EBCFD9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149.728,20</w:t>
            </w:r>
          </w:p>
        </w:tc>
        <w:tc>
          <w:tcPr>
            <w:tcW w:w="188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918395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160.925,27</w:t>
            </w:r>
          </w:p>
        </w:tc>
      </w:tr>
      <w:tr w14:paraId="33523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B4A257B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50</w:t>
            </w:r>
          </w:p>
        </w:tc>
        <w:tc>
          <w:tcPr>
            <w:tcW w:w="8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8C8DD7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Pomoći iz državnog proračuna / fiskalna održivost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2A46C0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45.506,25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E8FED3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149.728,20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684E502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160.925,27</w:t>
            </w:r>
          </w:p>
        </w:tc>
      </w:tr>
      <w:tr w14:paraId="7A76F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6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169F79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6</w:t>
            </w:r>
          </w:p>
        </w:tc>
        <w:tc>
          <w:tcPr>
            <w:tcW w:w="897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2F0D62D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Donacije i ostali prihodi</w:t>
            </w:r>
          </w:p>
        </w:tc>
        <w:tc>
          <w:tcPr>
            <w:tcW w:w="231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554183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2.000,00</w:t>
            </w:r>
          </w:p>
        </w:tc>
        <w:tc>
          <w:tcPr>
            <w:tcW w:w="188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DBEE4CE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6.000,00</w:t>
            </w:r>
          </w:p>
        </w:tc>
        <w:tc>
          <w:tcPr>
            <w:tcW w:w="188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5C7EBD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6.150,00</w:t>
            </w:r>
          </w:p>
        </w:tc>
      </w:tr>
      <w:tr w14:paraId="44AE4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4CA0B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60</w:t>
            </w:r>
          </w:p>
        </w:tc>
        <w:tc>
          <w:tcPr>
            <w:tcW w:w="8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07DD57">
            <w:pPr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Donacije i ostali prihodi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C3282D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2.000,00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BE90A74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6.000,00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43089D">
            <w:pPr>
              <w:jc w:val="right"/>
              <w:rPr>
                <w:lang w:val="hr-HR"/>
              </w:rPr>
            </w:pPr>
            <w:r>
              <w:rPr>
                <w:i/>
                <w:sz w:val="18"/>
                <w:lang w:val="hr-HR"/>
              </w:rPr>
              <w:t>6.150,00</w:t>
            </w:r>
          </w:p>
        </w:tc>
      </w:tr>
      <w:tr w14:paraId="79908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6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DFD81BC">
            <w:pPr>
              <w:jc w:val="center"/>
              <w:rPr>
                <w:lang w:val="hr-HR"/>
              </w:rPr>
            </w:pPr>
          </w:p>
        </w:tc>
        <w:tc>
          <w:tcPr>
            <w:tcW w:w="897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6ECE1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UKUPNO RASHODI</w:t>
            </w:r>
          </w:p>
        </w:tc>
        <w:tc>
          <w:tcPr>
            <w:tcW w:w="231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9A36A6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234.284,64</w:t>
            </w:r>
          </w:p>
        </w:tc>
        <w:tc>
          <w:tcPr>
            <w:tcW w:w="188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2F6003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737.921,74</w:t>
            </w:r>
          </w:p>
        </w:tc>
        <w:tc>
          <w:tcPr>
            <w:tcW w:w="188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3832789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769.320,50</w:t>
            </w:r>
          </w:p>
        </w:tc>
      </w:tr>
    </w:tbl>
    <w:p w14:paraId="37C2C19D">
      <w:pPr>
        <w:rPr>
          <w:lang w:val="hr-HR"/>
        </w:rPr>
        <w:sectPr>
          <w:footerReference r:id="rId10" w:type="default"/>
          <w:pgSz w:w="16838" w:h="11905" w:orient="landscape"/>
          <w:pgMar w:top="648" w:right="360" w:bottom="648" w:left="360" w:header="288" w:footer="288" w:gutter="0"/>
          <w:cols w:space="720" w:num="1"/>
          <w:docGrid w:linePitch="360" w:charSpace="0"/>
        </w:sectPr>
      </w:pPr>
    </w:p>
    <w:tbl>
      <w:tblPr>
        <w:tblStyle w:val="12"/>
        <w:tblW w:w="161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7349"/>
        <w:gridCol w:w="2727"/>
        <w:gridCol w:w="2216"/>
        <w:gridCol w:w="2216"/>
      </w:tblGrid>
      <w:tr w14:paraId="6D060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6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58A7DB9">
            <w:pPr>
              <w:jc w:val="center"/>
              <w:rPr>
                <w:lang w:val="hr-HR"/>
              </w:rPr>
            </w:pPr>
            <w:r>
              <w:rPr>
                <w:b/>
                <w:lang w:val="hr-HR"/>
              </w:rPr>
              <w:t>A. RAČUN PRIHODA I RASHODA</w:t>
            </w:r>
          </w:p>
        </w:tc>
      </w:tr>
      <w:tr w14:paraId="0BA61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D4010A6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A3. RASHODI PREMA FUNKCIJSKOJ KLASIFIKACIJI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DCB63B5">
            <w:pPr>
              <w:rPr>
                <w:lang w:val="hr-HR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BCE175">
            <w:pPr>
              <w:rPr>
                <w:lang w:val="hr-HR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F222303">
            <w:pPr>
              <w:rPr>
                <w:lang w:val="hr-HR"/>
              </w:rPr>
            </w:pPr>
          </w:p>
        </w:tc>
      </w:tr>
      <w:tr w14:paraId="7067E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EE565AE">
            <w:pPr>
              <w:rPr>
                <w:lang w:val="hr-HR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17AD220">
            <w:pPr>
              <w:rPr>
                <w:lang w:val="hr-HR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FDBF0AA">
            <w:pPr>
              <w:rPr>
                <w:lang w:val="hr-HR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AC77D5">
            <w:pPr>
              <w:rPr>
                <w:lang w:val="hr-HR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7E0A90">
            <w:pPr>
              <w:rPr>
                <w:lang w:val="hr-HR"/>
              </w:rPr>
            </w:pPr>
          </w:p>
        </w:tc>
      </w:tr>
      <w:tr w14:paraId="796B8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16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CA925C1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Funkcija</w:t>
            </w:r>
          </w:p>
        </w:tc>
        <w:tc>
          <w:tcPr>
            <w:tcW w:w="734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01A38C0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Naziv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8FFFD35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Plan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2026 (1.9.–31.12.)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FA1C3D4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Projekcija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2027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E2733C">
            <w:pPr>
              <w:jc w:val="center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Projekcija</w:t>
            </w:r>
            <w:r>
              <w:rPr>
                <w:b/>
                <w:sz w:val="18"/>
                <w:lang w:val="hr-HR"/>
              </w:rPr>
              <w:br w:type="textWrapping"/>
            </w:r>
            <w:r>
              <w:rPr>
                <w:b/>
                <w:sz w:val="18"/>
                <w:lang w:val="hr-HR"/>
              </w:rPr>
              <w:t>2028</w:t>
            </w:r>
          </w:p>
        </w:tc>
      </w:tr>
      <w:tr w14:paraId="707F7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D6A4AA7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09</w:t>
            </w:r>
          </w:p>
        </w:tc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BEA9EE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Obrazovanje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89F151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234.284,64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FB92CE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737.921,74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63BD5A1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769.320,50</w:t>
            </w:r>
          </w:p>
        </w:tc>
      </w:tr>
      <w:tr w14:paraId="06EF8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23C61E">
            <w:pPr>
              <w:rPr>
                <w:lang w:val="hr-HR"/>
              </w:rPr>
            </w:pPr>
            <w:r>
              <w:rPr>
                <w:sz w:val="18"/>
                <w:lang w:val="hr-HR"/>
              </w:rPr>
              <w:t>091</w:t>
            </w:r>
          </w:p>
        </w:tc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74543A">
            <w:pPr>
              <w:rPr>
                <w:lang w:val="hr-HR"/>
              </w:rPr>
            </w:pPr>
            <w:r>
              <w:rPr>
                <w:sz w:val="18"/>
                <w:lang w:val="hr-HR"/>
              </w:rPr>
              <w:t>Predškolsko i osnovno obrazovanje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CFFB0E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234.284,64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2DF1496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737.921,74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325A9C9">
            <w:pPr>
              <w:jc w:val="right"/>
              <w:rPr>
                <w:lang w:val="hr-HR"/>
              </w:rPr>
            </w:pPr>
            <w:r>
              <w:rPr>
                <w:sz w:val="18"/>
                <w:lang w:val="hr-HR"/>
              </w:rPr>
              <w:t>769.320,50</w:t>
            </w:r>
          </w:p>
        </w:tc>
      </w:tr>
      <w:tr w14:paraId="3578F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0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E514937">
            <w:pPr>
              <w:rPr>
                <w:lang w:val="hr-HR"/>
              </w:rPr>
            </w:pPr>
          </w:p>
        </w:tc>
        <w:tc>
          <w:tcPr>
            <w:tcW w:w="7349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727C5F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UKUPNO RASHODI</w:t>
            </w:r>
          </w:p>
        </w:tc>
        <w:tc>
          <w:tcPr>
            <w:tcW w:w="2727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61A4DF5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234.284,64</w:t>
            </w:r>
          </w:p>
        </w:tc>
        <w:tc>
          <w:tcPr>
            <w:tcW w:w="221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2D9D2D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737.921,74</w:t>
            </w:r>
          </w:p>
        </w:tc>
        <w:tc>
          <w:tcPr>
            <w:tcW w:w="221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F393C6">
            <w:pPr>
              <w:jc w:val="right"/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769.320,50</w:t>
            </w:r>
          </w:p>
        </w:tc>
      </w:tr>
    </w:tbl>
    <w:p w14:paraId="7CB28121">
      <w:pPr>
        <w:rPr>
          <w:lang w:val="hr-HR"/>
        </w:rPr>
        <w:sectPr>
          <w:footerReference r:id="rId11" w:type="default"/>
          <w:pgSz w:w="16838" w:h="11905" w:orient="landscape"/>
          <w:pgMar w:top="648" w:right="360" w:bottom="648" w:left="360" w:header="288" w:footer="288" w:gutter="0"/>
          <w:cols w:space="720" w:num="1"/>
          <w:docGrid w:linePitch="360" w:charSpace="0"/>
        </w:sectPr>
      </w:pPr>
    </w:p>
    <w:tbl>
      <w:tblPr>
        <w:tblStyle w:val="12"/>
        <w:tblW w:w="161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8843"/>
        <w:gridCol w:w="2210"/>
        <w:gridCol w:w="1796"/>
        <w:gridCol w:w="1796"/>
      </w:tblGrid>
      <w:tr w14:paraId="0A9E9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tblHeader/>
        </w:trPr>
        <w:tc>
          <w:tcPr>
            <w:tcW w:w="16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10CD3E">
            <w:pPr>
              <w:jc w:val="center"/>
              <w:rPr>
                <w:lang w:val="hr-HR"/>
              </w:rPr>
            </w:pPr>
            <w:r>
              <w:rPr>
                <w:b/>
                <w:sz w:val="23"/>
                <w:lang w:val="hr-HR"/>
              </w:rPr>
              <w:t>II. POSEBNI DIO – PROGRAMSKA KLASIFIKACIJA</w:t>
            </w:r>
          </w:p>
        </w:tc>
      </w:tr>
      <w:tr w14:paraId="09AF7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  <w:tblHeader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2698610">
            <w:pPr>
              <w:rPr>
                <w:lang w:val="hr-HR"/>
              </w:rPr>
            </w:pP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548D42E">
            <w:pPr>
              <w:rPr>
                <w:lang w:val="hr-HR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6009D4F">
            <w:pPr>
              <w:rPr>
                <w:lang w:val="hr-H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09FE42D">
            <w:pPr>
              <w:rPr>
                <w:lang w:val="hr-H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014B37">
            <w:pPr>
              <w:rPr>
                <w:lang w:val="hr-HR"/>
              </w:rPr>
            </w:pPr>
          </w:p>
        </w:tc>
      </w:tr>
      <w:tr w14:paraId="047FA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tblHeader/>
        </w:trPr>
        <w:tc>
          <w:tcPr>
            <w:tcW w:w="14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B9BEEAC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Šifra</w:t>
            </w:r>
          </w:p>
        </w:tc>
        <w:tc>
          <w:tcPr>
            <w:tcW w:w="884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1FFF53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Naziv</w:t>
            </w:r>
          </w:p>
        </w:tc>
        <w:tc>
          <w:tcPr>
            <w:tcW w:w="221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E92C788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Plan</w:t>
            </w:r>
            <w:r>
              <w:rPr>
                <w:b/>
                <w:sz w:val="17"/>
                <w:lang w:val="hr-HR"/>
              </w:rPr>
              <w:br w:type="textWrapping"/>
            </w:r>
            <w:r>
              <w:rPr>
                <w:b/>
                <w:sz w:val="17"/>
                <w:lang w:val="hr-HR"/>
              </w:rPr>
              <w:t>2026 (1.9.–31.12.)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FD5E9B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Projekcija</w:t>
            </w:r>
            <w:r>
              <w:rPr>
                <w:b/>
                <w:sz w:val="17"/>
                <w:lang w:val="hr-HR"/>
              </w:rPr>
              <w:br w:type="textWrapping"/>
            </w:r>
            <w:r>
              <w:rPr>
                <w:b/>
                <w:sz w:val="17"/>
                <w:lang w:val="hr-HR"/>
              </w:rPr>
              <w:t>2027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2354F9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Projekcija</w:t>
            </w:r>
            <w:r>
              <w:rPr>
                <w:b/>
                <w:sz w:val="17"/>
                <w:lang w:val="hr-HR"/>
              </w:rPr>
              <w:br w:type="textWrapping"/>
            </w:r>
            <w:r>
              <w:rPr>
                <w:b/>
                <w:sz w:val="17"/>
                <w:lang w:val="hr-HR"/>
              </w:rPr>
              <w:t>2028</w:t>
            </w:r>
          </w:p>
        </w:tc>
      </w:tr>
      <w:tr w14:paraId="45C63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0403770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001</w:t>
            </w:r>
          </w:p>
        </w:tc>
        <w:tc>
          <w:tcPr>
            <w:tcW w:w="884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9BA0D3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RAZDJEL: DJEČJI VRTIĆ</w:t>
            </w:r>
          </w:p>
        </w:tc>
        <w:tc>
          <w:tcPr>
            <w:tcW w:w="221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759007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234.284,64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C231A0F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737.921,74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C5E2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9AB9028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769.320,50</w:t>
            </w:r>
          </w:p>
        </w:tc>
      </w:tr>
      <w:tr w14:paraId="1B5F9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single" w:color="A6A6A6" w:sz="4" w:space="0"/>
              <w:left w:val="single" w:color="000000" w:sz="8" w:space="0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716EF1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00101</w:t>
            </w:r>
          </w:p>
        </w:tc>
        <w:tc>
          <w:tcPr>
            <w:tcW w:w="8843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BA0118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GLAVA: PREDŠKOLSKO OBRAZOVANJE</w:t>
            </w:r>
          </w:p>
        </w:tc>
        <w:tc>
          <w:tcPr>
            <w:tcW w:w="2210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5C8E4FD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234.284,64</w:t>
            </w:r>
          </w:p>
        </w:tc>
        <w:tc>
          <w:tcPr>
            <w:tcW w:w="179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058DA2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737.921,74</w:t>
            </w:r>
          </w:p>
        </w:tc>
        <w:tc>
          <w:tcPr>
            <w:tcW w:w="1796" w:type="dxa"/>
            <w:tcBorders>
              <w:top w:val="single" w:color="A6A6A6" w:sz="4" w:space="0"/>
              <w:left w:val="nil"/>
              <w:bottom w:val="nil"/>
              <w:right w:val="single" w:color="000000" w:sz="8" w:space="0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B1763E2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769.320,50</w:t>
            </w:r>
          </w:p>
        </w:tc>
      </w:tr>
      <w:tr w14:paraId="095C0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single" w:color="A6A6A6" w:sz="4" w:space="0"/>
              <w:left w:val="single" w:color="000000" w:sz="8" w:space="0"/>
              <w:bottom w:val="nil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DD8E6FA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1001</w:t>
            </w:r>
          </w:p>
        </w:tc>
        <w:tc>
          <w:tcPr>
            <w:tcW w:w="8843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521DFA2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Program: PREDŠKOLSKI ODGOJ</w:t>
            </w:r>
          </w:p>
        </w:tc>
        <w:tc>
          <w:tcPr>
            <w:tcW w:w="2210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F8D2963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234.284,64</w:t>
            </w:r>
          </w:p>
        </w:tc>
        <w:tc>
          <w:tcPr>
            <w:tcW w:w="179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5798525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737.921,74</w:t>
            </w:r>
          </w:p>
        </w:tc>
        <w:tc>
          <w:tcPr>
            <w:tcW w:w="1796" w:type="dxa"/>
            <w:tcBorders>
              <w:top w:val="single" w:color="A6A6A6" w:sz="4" w:space="0"/>
              <w:left w:val="nil"/>
              <w:bottom w:val="nil"/>
              <w:right w:val="single" w:color="000000" w:sz="8" w:space="0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1F5AF89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769.320,50</w:t>
            </w:r>
          </w:p>
        </w:tc>
      </w:tr>
      <w:tr w14:paraId="5ED58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single" w:color="A6A6A6" w:sz="4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4A993F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A100001</w:t>
            </w:r>
          </w:p>
        </w:tc>
        <w:tc>
          <w:tcPr>
            <w:tcW w:w="8843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E5D8C3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Aktivnost: REDOVNA DJELATNOST</w:t>
            </w:r>
          </w:p>
        </w:tc>
        <w:tc>
          <w:tcPr>
            <w:tcW w:w="2210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EB96045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229.984,64</w:t>
            </w:r>
          </w:p>
        </w:tc>
        <w:tc>
          <w:tcPr>
            <w:tcW w:w="179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AF1015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721.921,74</w:t>
            </w:r>
          </w:p>
        </w:tc>
        <w:tc>
          <w:tcPr>
            <w:tcW w:w="1796" w:type="dxa"/>
            <w:tcBorders>
              <w:top w:val="single" w:color="A6A6A6" w:sz="4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08C761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749.320,50</w:t>
            </w:r>
          </w:p>
        </w:tc>
      </w:tr>
      <w:tr w14:paraId="17124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1BE5DE7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Izvor: 11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F25330C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Opći prihodi i primici – Općina Pribislavec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241BD1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137.621,46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4BED34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422.511,68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D7BA48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432.205,47</w:t>
            </w:r>
          </w:p>
        </w:tc>
      </w:tr>
      <w:tr w14:paraId="3ADE6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3298CBB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3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C089EED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Rashodi poslovanja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C5BE64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137.621,46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25E96E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422.511,68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B78F868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432.205,47</w:t>
            </w:r>
          </w:p>
        </w:tc>
      </w:tr>
      <w:tr w14:paraId="1CE23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0209455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31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CE7431D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Rashodi za zaposlene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F069F41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131.037,39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C18623F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404.224,85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7DD85C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414.572,98</w:t>
            </w:r>
          </w:p>
        </w:tc>
      </w:tr>
      <w:tr w14:paraId="39BEE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DEE34F4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32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67251C7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Materijalni rashodi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B810AB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6.184,08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642DA3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17.050,83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837A4EC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16.365,59</w:t>
            </w:r>
          </w:p>
        </w:tc>
      </w:tr>
      <w:tr w14:paraId="682BD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FE70C2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34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38A90E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Financijski rashodi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EBA4B31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BE346C1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1.236,00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91E3D8C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1.266,90</w:t>
            </w:r>
          </w:p>
        </w:tc>
      </w:tr>
      <w:tr w14:paraId="6DF0A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2A4D53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Izvor: 31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2E56335">
            <w:pPr>
              <w:ind w:left="120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Participacije roditelja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1BE468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46.856,93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A16693B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149.681,86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CFFB83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156.189,76</w:t>
            </w:r>
          </w:p>
        </w:tc>
      </w:tr>
      <w:tr w14:paraId="72599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5230B7F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3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C7CCFE4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Rashodi poslovanja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B4045FB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46.856,93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C9743E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149.681,86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A7D41FF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156.189,76</w:t>
            </w:r>
          </w:p>
        </w:tc>
      </w:tr>
      <w:tr w14:paraId="7A23B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DE2F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31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378AC2E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Rashodi za zaposlene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7724B56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23.428,46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C0E7ED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74.840,93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8E4616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78.094,88</w:t>
            </w:r>
          </w:p>
        </w:tc>
      </w:tr>
      <w:tr w14:paraId="5D6B6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7014977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32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76C40A9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Materijalni rashodi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EF9527C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23.428,46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DDE36A4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74.840,93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E2F204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78.094,88</w:t>
            </w:r>
          </w:p>
        </w:tc>
      </w:tr>
      <w:tr w14:paraId="33207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C1D49F3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34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AAD7F5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Financijski rashodi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2B7C0A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A4261A7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FA90B3A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-</w:t>
            </w:r>
          </w:p>
        </w:tc>
      </w:tr>
      <w:tr w14:paraId="2AF9E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46C49E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Izvor: 50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8F1EDAA">
            <w:pPr>
              <w:ind w:left="120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Pomoći iz državnog proračuna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376DCB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45.506,25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D7BF92F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149.728,20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136441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160.925,27</w:t>
            </w:r>
          </w:p>
        </w:tc>
      </w:tr>
      <w:tr w14:paraId="1CD09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FF5DC62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3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614730B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Rashodi poslovanja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98E45DC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45.506,25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1AF318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149.728,20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ECC865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160.925,27</w:t>
            </w:r>
          </w:p>
        </w:tc>
      </w:tr>
      <w:tr w14:paraId="4D3E4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9D7B782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31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3A79B8B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Rashodi za zaposlene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06E881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22.753,12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41281DD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74.864,10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0CF5CB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80.462,63</w:t>
            </w:r>
          </w:p>
        </w:tc>
      </w:tr>
      <w:tr w14:paraId="30750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0CDB53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32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D46FDA2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Materijalni rashodi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77CFAB5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22.753,12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0AAB6D7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74.864,10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0351BB7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80.462,63</w:t>
            </w:r>
          </w:p>
        </w:tc>
      </w:tr>
      <w:tr w14:paraId="78906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473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5472D68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34</w:t>
            </w:r>
          </w:p>
        </w:tc>
        <w:tc>
          <w:tcPr>
            <w:tcW w:w="88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6A5A494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Financijski rashodi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BA7ABA3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707F4D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D0AD2C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-</w:t>
            </w:r>
          </w:p>
        </w:tc>
      </w:tr>
      <w:tr w14:paraId="0B6CA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9BE5B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3</w:t>
            </w:r>
          </w:p>
        </w:tc>
        <w:tc>
          <w:tcPr>
            <w:tcW w:w="884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A8854C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Rashodi poslovanja</w:t>
            </w:r>
          </w:p>
        </w:tc>
        <w:tc>
          <w:tcPr>
            <w:tcW w:w="221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90E7F17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229.984,64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2E5DF7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721.921,74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D78094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749.320,50</w:t>
            </w:r>
          </w:p>
        </w:tc>
      </w:tr>
      <w:tr w14:paraId="17FF4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9A68F0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31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BB8B5A5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Rashodi za zaposlene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1D81CF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177.218,98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F09E09B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553.929,88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8FA5E44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573.130,50</w:t>
            </w:r>
          </w:p>
        </w:tc>
      </w:tr>
      <w:tr w14:paraId="69B89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84304A3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32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E15B522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Materijalni rashodi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1D2C3FA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52.365,67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DB51394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166.755,86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BCF2BB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174.923,10</w:t>
            </w:r>
          </w:p>
        </w:tc>
      </w:tr>
      <w:tr w14:paraId="45EFB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473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1A138F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34</w:t>
            </w:r>
          </w:p>
        </w:tc>
        <w:tc>
          <w:tcPr>
            <w:tcW w:w="88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56D37C9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Financijski rashodi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A01BD89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400,00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FD10E5B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1.236,00</w:t>
            </w:r>
          </w:p>
        </w:tc>
        <w:tc>
          <w:tcPr>
            <w:tcW w:w="17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208DE0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1.266,90</w:t>
            </w:r>
          </w:p>
        </w:tc>
      </w:tr>
      <w:tr w14:paraId="47D9D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907FACA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A100003</w:t>
            </w:r>
          </w:p>
        </w:tc>
        <w:tc>
          <w:tcPr>
            <w:tcW w:w="884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2CCC81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Aktivnost: POMOĆI MZO – PROGRAM PREDŠKOLE</w:t>
            </w:r>
          </w:p>
        </w:tc>
        <w:tc>
          <w:tcPr>
            <w:tcW w:w="221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BAE68BF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0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CF55935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0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B6BF670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0</w:t>
            </w:r>
          </w:p>
        </w:tc>
      </w:tr>
      <w:tr w14:paraId="73F11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473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657C83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32</w:t>
            </w:r>
          </w:p>
        </w:tc>
        <w:tc>
          <w:tcPr>
            <w:tcW w:w="88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2666B54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Materijalni rashodi – program predškole (nije zasebno planirano)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306921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23DFB52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EDF3496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0</w:t>
            </w:r>
          </w:p>
        </w:tc>
      </w:tr>
      <w:tr w14:paraId="6A67D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2008323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K100002</w:t>
            </w:r>
          </w:p>
        </w:tc>
        <w:tc>
          <w:tcPr>
            <w:tcW w:w="884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8B377CE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Kapitalni projekt: NABAVA OPREME I NEMATERIJALNE IMOVINE</w:t>
            </w:r>
          </w:p>
        </w:tc>
        <w:tc>
          <w:tcPr>
            <w:tcW w:w="221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080C7A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4.300,00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7D391B6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16.000,00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89FAD1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20.000,00</w:t>
            </w:r>
          </w:p>
        </w:tc>
      </w:tr>
      <w:tr w14:paraId="618BB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C7A5F32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Izvor: 11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DA2CA5E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Opći prihodi i primici – Općina Pribislavec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93A63C0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2.300,00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01169EE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10.000,00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19BD9A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13.850,00</w:t>
            </w:r>
          </w:p>
        </w:tc>
      </w:tr>
      <w:tr w14:paraId="218B6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FB2B71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4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6BE6CD5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Rashodi za nabavu nefinancijske imovine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2621EF7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2.300,00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94ABFAC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10.000,00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3A81070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13.850,00</w:t>
            </w:r>
          </w:p>
        </w:tc>
      </w:tr>
      <w:tr w14:paraId="7D6C1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B4892A5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422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2ECB7D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Postrojenja i oprema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0414483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2.000,00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EE4815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10.000,00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A501616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13.850,00</w:t>
            </w:r>
          </w:p>
        </w:tc>
      </w:tr>
      <w:tr w14:paraId="23207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9F2B76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426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35311FB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Nematerijalna proizvedena imovina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E581ED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300,00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3B666B2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78E8F69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-</w:t>
            </w:r>
          </w:p>
        </w:tc>
      </w:tr>
      <w:tr w14:paraId="11D1F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EF54298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Izvor: 60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2089C56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Donacije i ostali prihodi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F623DEC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2.000,00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6EE66CB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6.000,00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2EA4E7E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6.150,00</w:t>
            </w:r>
          </w:p>
        </w:tc>
      </w:tr>
      <w:tr w14:paraId="67D02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FBBCB15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4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26ABFBE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Rashodi za nabavu nefinancijske imovine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4AB110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2.000,00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077B93B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6.000,00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0A078B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6.150,00</w:t>
            </w:r>
          </w:p>
        </w:tc>
      </w:tr>
      <w:tr w14:paraId="58145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F88F29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422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98EEE2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Postrojenja i oprema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E114FE3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2.000,00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9326DA4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6.000,00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A4EC91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6.150,00</w:t>
            </w:r>
          </w:p>
        </w:tc>
      </w:tr>
      <w:tr w14:paraId="1AD4A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473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F13E19C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426</w:t>
            </w:r>
          </w:p>
        </w:tc>
        <w:tc>
          <w:tcPr>
            <w:tcW w:w="88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8C2DDBC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Nematerijalna proizvedena imovina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C15AC0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2C34F58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9C7A369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-</w:t>
            </w:r>
          </w:p>
        </w:tc>
      </w:tr>
      <w:tr w14:paraId="15F6C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C3F7C78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4</w:t>
            </w:r>
          </w:p>
        </w:tc>
        <w:tc>
          <w:tcPr>
            <w:tcW w:w="884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96E733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Rashodi za nabavu nefinancijske imovine</w:t>
            </w:r>
          </w:p>
        </w:tc>
        <w:tc>
          <w:tcPr>
            <w:tcW w:w="221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308709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4.300,00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B9599B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16.000,00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BAF7A61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20.000,00</w:t>
            </w:r>
          </w:p>
        </w:tc>
      </w:tr>
      <w:tr w14:paraId="39DBE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7CC4C90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422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3A207FB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Postrojenja i oprema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18EF97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4.000,00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9AC51AA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16.000,00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C5D07B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20.000,00</w:t>
            </w:r>
          </w:p>
        </w:tc>
      </w:tr>
      <w:tr w14:paraId="51136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473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3C06AD3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426</w:t>
            </w:r>
          </w:p>
        </w:tc>
        <w:tc>
          <w:tcPr>
            <w:tcW w:w="88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7CEF193">
            <w:pPr>
              <w:ind w:left="120"/>
              <w:rPr>
                <w:lang w:val="hr-HR"/>
              </w:rPr>
            </w:pPr>
            <w:r>
              <w:rPr>
                <w:sz w:val="17"/>
                <w:lang w:val="hr-HR"/>
              </w:rPr>
              <w:t>Nematerijalna proizvedena imovina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1674D5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300,00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D8D06D1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4B47EF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-</w:t>
            </w:r>
          </w:p>
        </w:tc>
      </w:tr>
      <w:tr w14:paraId="2F608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</w:trPr>
        <w:tc>
          <w:tcPr>
            <w:tcW w:w="16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00949C9">
            <w:pPr>
              <w:jc w:val="right"/>
              <w:rPr>
                <w:lang w:val="hr-HR"/>
              </w:rPr>
            </w:pPr>
          </w:p>
        </w:tc>
      </w:tr>
      <w:tr w14:paraId="4B15F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5EE3A0B">
            <w:pPr>
              <w:rPr>
                <w:lang w:val="hr-HR"/>
              </w:rPr>
            </w:pP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F358B77">
            <w:pPr>
              <w:rPr>
                <w:lang w:val="hr-HR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4343B69">
            <w:pPr>
              <w:jc w:val="right"/>
              <w:rPr>
                <w:lang w:val="hr-H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D7E330">
            <w:pPr>
              <w:jc w:val="right"/>
              <w:rPr>
                <w:lang w:val="hr-H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33A38C">
            <w:pPr>
              <w:jc w:val="right"/>
              <w:rPr>
                <w:lang w:val="hr-HR"/>
              </w:rPr>
            </w:pPr>
          </w:p>
        </w:tc>
      </w:tr>
      <w:tr w14:paraId="300DB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0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43E1556">
            <w:pPr>
              <w:jc w:val="both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IZVORI FINANCIRANJA PO PROGRAMU</w:t>
            </w:r>
          </w:p>
          <w:p w14:paraId="1B659C99">
            <w:pPr>
              <w:rPr>
                <w:lang w:val="hr-HR"/>
              </w:rPr>
            </w:pPr>
          </w:p>
          <w:p w14:paraId="4CD65904">
            <w:pPr>
              <w:rPr>
                <w:lang w:val="hr-HR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621C37F">
            <w:pPr>
              <w:jc w:val="right"/>
              <w:rPr>
                <w:lang w:val="hr-H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855BF31">
            <w:pPr>
              <w:jc w:val="right"/>
              <w:rPr>
                <w:lang w:val="hr-H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4B5C2">
            <w:pPr>
              <w:jc w:val="right"/>
              <w:rPr>
                <w:lang w:val="hr-HR"/>
              </w:rPr>
            </w:pPr>
          </w:p>
        </w:tc>
      </w:tr>
      <w:tr w14:paraId="4955F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14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292951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Izvor</w:t>
            </w:r>
          </w:p>
        </w:tc>
        <w:tc>
          <w:tcPr>
            <w:tcW w:w="884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E22BC6C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Naziv</w:t>
            </w:r>
          </w:p>
        </w:tc>
        <w:tc>
          <w:tcPr>
            <w:tcW w:w="221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5A37DB0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Plan</w:t>
            </w:r>
            <w:r>
              <w:rPr>
                <w:b/>
                <w:sz w:val="17"/>
                <w:lang w:val="hr-HR"/>
              </w:rPr>
              <w:br w:type="textWrapping"/>
            </w:r>
            <w:r>
              <w:rPr>
                <w:b/>
                <w:sz w:val="17"/>
                <w:lang w:val="hr-HR"/>
              </w:rPr>
              <w:t>2026 (1.9.–31.12.)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19858E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Projekcija</w:t>
            </w:r>
            <w:r>
              <w:rPr>
                <w:b/>
                <w:sz w:val="17"/>
                <w:lang w:val="hr-HR"/>
              </w:rPr>
              <w:br w:type="textWrapping"/>
            </w:r>
            <w:r>
              <w:rPr>
                <w:b/>
                <w:sz w:val="17"/>
                <w:lang w:val="hr-HR"/>
              </w:rPr>
              <w:t>2027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A257067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Projekcija</w:t>
            </w:r>
            <w:r>
              <w:rPr>
                <w:b/>
                <w:sz w:val="17"/>
                <w:lang w:val="hr-HR"/>
              </w:rPr>
              <w:br w:type="textWrapping"/>
            </w:r>
            <w:r>
              <w:rPr>
                <w:b/>
                <w:sz w:val="17"/>
                <w:lang w:val="hr-HR"/>
              </w:rPr>
              <w:t>2028</w:t>
            </w:r>
          </w:p>
        </w:tc>
      </w:tr>
      <w:tr w14:paraId="56403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19BB269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11</w:t>
            </w:r>
          </w:p>
        </w:tc>
        <w:tc>
          <w:tcPr>
            <w:tcW w:w="884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D182A41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Opći prihodi i primici – Općina Pribislavec</w:t>
            </w:r>
          </w:p>
        </w:tc>
        <w:tc>
          <w:tcPr>
            <w:tcW w:w="221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319DDBA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139.921,46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25BECE9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432.511,68</w:t>
            </w:r>
          </w:p>
        </w:tc>
        <w:tc>
          <w:tcPr>
            <w:tcW w:w="179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9C4CEF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446.055,47</w:t>
            </w:r>
          </w:p>
        </w:tc>
      </w:tr>
      <w:tr w14:paraId="20F57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9D87C75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31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12B8AD2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Participacije roditelja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E794691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46.856,93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95364B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149.681,86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050A5CD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156.189,76</w:t>
            </w:r>
          </w:p>
        </w:tc>
      </w:tr>
      <w:tr w14:paraId="67397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4319775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50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D8C0BA9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Pomoći iz državnog proračuna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0A86063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45.506,25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6867188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149.728,20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EBE57C1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160.925,27</w:t>
            </w:r>
          </w:p>
        </w:tc>
      </w:tr>
      <w:tr w14:paraId="0037B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7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33A3512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60</w: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B12BFD2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Donacije i ostali prihodi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558B51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2.000,00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CE8CD4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6.000,00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FD51CB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6.150,00</w:t>
            </w:r>
          </w:p>
        </w:tc>
      </w:tr>
      <w:tr w14:paraId="4C8A9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473" w:type="dxa"/>
            <w:tcBorders>
              <w:top w:val="single" w:color="A6A6A6" w:sz="4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3805BD">
            <w:pPr>
              <w:rPr>
                <w:lang w:val="hr-HR"/>
              </w:rPr>
            </w:pPr>
          </w:p>
        </w:tc>
        <w:tc>
          <w:tcPr>
            <w:tcW w:w="8843" w:type="dxa"/>
            <w:tcBorders>
              <w:top w:val="single" w:color="A6A6A6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1410AC4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UKUPNO</w:t>
            </w:r>
          </w:p>
        </w:tc>
        <w:tc>
          <w:tcPr>
            <w:tcW w:w="2210" w:type="dxa"/>
            <w:tcBorders>
              <w:top w:val="single" w:color="A6A6A6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746C0AB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234.284,64</w:t>
            </w:r>
          </w:p>
        </w:tc>
        <w:tc>
          <w:tcPr>
            <w:tcW w:w="1796" w:type="dxa"/>
            <w:tcBorders>
              <w:top w:val="single" w:color="A6A6A6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05A3431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737.921,74</w:t>
            </w:r>
          </w:p>
        </w:tc>
        <w:tc>
          <w:tcPr>
            <w:tcW w:w="1796" w:type="dxa"/>
            <w:tcBorders>
              <w:top w:val="single" w:color="A6A6A6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911977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769.320,50</w:t>
            </w:r>
          </w:p>
        </w:tc>
      </w:tr>
    </w:tbl>
    <w:p w14:paraId="7D1BB70F">
      <w:pPr>
        <w:rPr>
          <w:lang w:val="hr-HR"/>
        </w:rPr>
        <w:sectPr>
          <w:footerReference r:id="rId12" w:type="default"/>
          <w:pgSz w:w="16838" w:h="11905" w:orient="landscape"/>
          <w:pgMar w:top="648" w:right="360" w:bottom="648" w:left="360" w:header="288" w:footer="288" w:gutter="0"/>
          <w:cols w:space="720" w:num="1"/>
          <w:docGrid w:linePitch="360" w:charSpace="0"/>
        </w:sectPr>
      </w:pPr>
    </w:p>
    <w:p w14:paraId="2B4AC225">
      <w:pPr>
        <w:spacing w:after="240"/>
        <w:jc w:val="center"/>
        <w:rPr>
          <w:lang w:val="hr-HR"/>
        </w:rPr>
      </w:pPr>
      <w:r>
        <w:rPr>
          <w:b/>
          <w:sz w:val="23"/>
          <w:lang w:val="hr-HR"/>
        </w:rPr>
        <w:t>III. OBRAZLOŽENJE FINANCIJSKOG PLANA ZA 2026. GODINU I PROJEKCIJA ZA 2027. I 2028. GODINU</w:t>
      </w:r>
    </w:p>
    <w:tbl>
      <w:tblPr>
        <w:tblStyle w:val="12"/>
        <w:tblW w:w="111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5"/>
      </w:tblGrid>
      <w:tr w14:paraId="186BA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1185" w:type="dxa"/>
            <w:shd w:val="clear" w:color="auto" w:fill="FFC5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6DD7B">
            <w:pPr>
              <w:rPr>
                <w:lang w:val="hr-HR"/>
              </w:rPr>
            </w:pPr>
            <w:r>
              <w:rPr>
                <w:b/>
                <w:sz w:val="19"/>
                <w:lang w:val="hr-HR"/>
              </w:rPr>
              <w:t>3.1. OBRAZLOŽENJE OPĆEG DIJELA</w:t>
            </w:r>
          </w:p>
        </w:tc>
      </w:tr>
    </w:tbl>
    <w:p w14:paraId="7430172D">
      <w:pPr>
        <w:jc w:val="both"/>
        <w:rPr>
          <w:lang w:val="hr-HR"/>
        </w:rPr>
      </w:pPr>
    </w:p>
    <w:p w14:paraId="73F612E1">
      <w:pPr>
        <w:spacing w:after="160"/>
        <w:jc w:val="both"/>
        <w:rPr>
          <w:lang w:val="hr-HR"/>
        </w:rPr>
      </w:pPr>
      <w:r>
        <w:rPr>
          <w:sz w:val="18"/>
          <w:lang w:val="hr-HR"/>
        </w:rPr>
        <w:t>Dječji vrtić „Magnolija“ je javna ustanova ranog i predškolskog odgoja i obrazovanja čiji je osnivač Općina Pribislavec. Ustanova je osnovana 2026. godine, a plan za 2026. obuhvaća razdoblje od 1. rujna do 31. prosinca. Opći dio prikazuje prihode i rashode prema ekonomskoj klasifikaciji, izvorima financiranja i funkcijskoj klasifikaciji.</w:t>
      </w:r>
    </w:p>
    <w:tbl>
      <w:tblPr>
        <w:tblStyle w:val="12"/>
        <w:tblW w:w="111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5"/>
      </w:tblGrid>
      <w:tr w14:paraId="0DA9A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5" w:type="dxa"/>
            <w:shd w:val="clear" w:color="auto" w:fill="FFE7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F338E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3.1.1. Prihodi prema ekonomskoj klasifikaciji</w:t>
            </w:r>
          </w:p>
        </w:tc>
      </w:tr>
    </w:tbl>
    <w:p w14:paraId="4030B4F6">
      <w:pPr>
        <w:rPr>
          <w:lang w:val="hr-HR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7776"/>
        <w:gridCol w:w="1872"/>
      </w:tblGrid>
      <w:tr w14:paraId="509F6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E7E6E6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79B1045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Skupina</w:t>
            </w:r>
          </w:p>
        </w:tc>
        <w:tc>
          <w:tcPr>
            <w:tcW w:w="77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E7E6E6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02CBE4D0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Opis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E7E6E6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6315A673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Plan 2026 (EUR)</w:t>
            </w:r>
          </w:p>
        </w:tc>
      </w:tr>
      <w:tr w14:paraId="34225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0F4D1B1A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63</w:t>
            </w:r>
          </w:p>
        </w:tc>
        <w:tc>
          <w:tcPr>
            <w:tcW w:w="777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1C156108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Pomoći iz državnog proračuna / fiskalna održivost</w:t>
            </w:r>
          </w:p>
        </w:tc>
        <w:tc>
          <w:tcPr>
            <w:tcW w:w="187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7B38264D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45.506,25</w:t>
            </w:r>
          </w:p>
        </w:tc>
      </w:tr>
      <w:tr w14:paraId="23CD3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3DFD0A2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65</w:t>
            </w:r>
          </w:p>
        </w:tc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5C53944B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Participacije roditelja u cijeni programa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0D6CD8FE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46.856,93</w:t>
            </w:r>
          </w:p>
        </w:tc>
      </w:tr>
      <w:tr w14:paraId="4FCB9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11C23A36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66</w:t>
            </w:r>
          </w:p>
        </w:tc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633FED5A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Donacije i ostali prihodi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6817754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2.000,00</w:t>
            </w:r>
          </w:p>
        </w:tc>
      </w:tr>
      <w:tr w14:paraId="12C20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519F4912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67</w:t>
            </w:r>
          </w:p>
        </w:tc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66C3065D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Prihodi iz proračuna Općine Pribislavec – iznos potreban za uravnoteženje plana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62D7FAEB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139.921,46</w:t>
            </w:r>
          </w:p>
        </w:tc>
      </w:tr>
      <w:tr w14:paraId="59793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37B14CB0">
            <w:pPr>
              <w:jc w:val="center"/>
              <w:rPr>
                <w:lang w:val="hr-HR"/>
              </w:rPr>
            </w:pPr>
          </w:p>
        </w:tc>
        <w:tc>
          <w:tcPr>
            <w:tcW w:w="777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7D7DAA6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UKUPNO PRIHODI</w:t>
            </w:r>
          </w:p>
        </w:tc>
        <w:tc>
          <w:tcPr>
            <w:tcW w:w="187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1EEBDC90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234.284,64</w:t>
            </w:r>
          </w:p>
        </w:tc>
      </w:tr>
    </w:tbl>
    <w:p w14:paraId="19CD3DAB">
      <w:pPr>
        <w:rPr>
          <w:lang w:val="hr-HR"/>
        </w:rPr>
      </w:pPr>
    </w:p>
    <w:tbl>
      <w:tblPr>
        <w:tblStyle w:val="12"/>
        <w:tblW w:w="111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5"/>
      </w:tblGrid>
      <w:tr w14:paraId="7763F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5" w:type="dxa"/>
            <w:shd w:val="clear" w:color="auto" w:fill="FFE7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39625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3.1.2. Rashodi prema ekonomskoj klasifikaciji</w:t>
            </w:r>
          </w:p>
        </w:tc>
      </w:tr>
    </w:tbl>
    <w:p w14:paraId="524062CB">
      <w:pPr>
        <w:rPr>
          <w:lang w:val="hr-HR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7776"/>
        <w:gridCol w:w="1872"/>
      </w:tblGrid>
      <w:tr w14:paraId="41349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E7E6E6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0B1AE7AE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Skupina</w:t>
            </w:r>
          </w:p>
        </w:tc>
        <w:tc>
          <w:tcPr>
            <w:tcW w:w="77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E7E6E6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236C133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Opis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E7E6E6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99E83D7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Plan 2026 (EUR)</w:t>
            </w:r>
          </w:p>
        </w:tc>
      </w:tr>
      <w:tr w14:paraId="09C0C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1AD50E03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31</w:t>
            </w:r>
          </w:p>
        </w:tc>
        <w:tc>
          <w:tcPr>
            <w:tcW w:w="777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7A8754C4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Rashodi za zaposlene – plaće, doprinosi i ostala prava koja se u modelu vode u skupini 31</w:t>
            </w:r>
          </w:p>
        </w:tc>
        <w:tc>
          <w:tcPr>
            <w:tcW w:w="187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34CBCE94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177.218,98</w:t>
            </w:r>
          </w:p>
        </w:tc>
      </w:tr>
      <w:tr w14:paraId="59620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42F1C3CC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32</w:t>
            </w:r>
          </w:p>
        </w:tc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4FF13E27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Materijalni rashodi – prijevoz, materijal i energija, usluge te ostali nespomenuti rashodi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74EA3E39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52.365,67</w:t>
            </w:r>
          </w:p>
        </w:tc>
      </w:tr>
      <w:tr w14:paraId="2B234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1665572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34</w:t>
            </w:r>
          </w:p>
        </w:tc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6DE8C456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Financijski rashodi – bankarske usluge i platni promet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15C113DA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400,00</w:t>
            </w:r>
          </w:p>
        </w:tc>
      </w:tr>
      <w:tr w14:paraId="2346A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039C2481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42</w:t>
            </w:r>
          </w:p>
        </w:tc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183120FD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Nabava proizvedene dugotrajne imovine – oprema i nematerijalna imovina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FCB3F43">
            <w:pPr>
              <w:jc w:val="right"/>
              <w:rPr>
                <w:lang w:val="hr-HR"/>
              </w:rPr>
            </w:pPr>
            <w:r>
              <w:rPr>
                <w:sz w:val="17"/>
                <w:lang w:val="hr-HR"/>
              </w:rPr>
              <w:t>4.300,00</w:t>
            </w:r>
          </w:p>
        </w:tc>
      </w:tr>
      <w:tr w14:paraId="4BDF0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69772DDE">
            <w:pPr>
              <w:jc w:val="center"/>
              <w:rPr>
                <w:lang w:val="hr-HR"/>
              </w:rPr>
            </w:pPr>
          </w:p>
        </w:tc>
        <w:tc>
          <w:tcPr>
            <w:tcW w:w="7776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1C279B9B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UKUPNO RASHODI</w:t>
            </w:r>
          </w:p>
        </w:tc>
        <w:tc>
          <w:tcPr>
            <w:tcW w:w="1872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368949BF">
            <w:pPr>
              <w:jc w:val="right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234.284,64</w:t>
            </w:r>
          </w:p>
        </w:tc>
      </w:tr>
    </w:tbl>
    <w:p w14:paraId="46023AC6">
      <w:pPr>
        <w:rPr>
          <w:lang w:val="hr-HR"/>
        </w:rPr>
      </w:pPr>
    </w:p>
    <w:tbl>
      <w:tblPr>
        <w:tblStyle w:val="12"/>
        <w:tblW w:w="111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5"/>
      </w:tblGrid>
      <w:tr w14:paraId="2E255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5" w:type="dxa"/>
            <w:shd w:val="clear" w:color="auto" w:fill="FFE7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5A69A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3.1.3. Izvori financiranja</w:t>
            </w:r>
          </w:p>
        </w:tc>
      </w:tr>
    </w:tbl>
    <w:p w14:paraId="69C60DE6">
      <w:pPr>
        <w:rPr>
          <w:lang w:val="hr-HR"/>
        </w:rPr>
      </w:pPr>
    </w:p>
    <w:p w14:paraId="6E102298">
      <w:pPr>
        <w:spacing w:after="140"/>
        <w:jc w:val="both"/>
        <w:rPr>
          <w:lang w:val="hr-HR"/>
        </w:rPr>
      </w:pPr>
      <w:r>
        <w:rPr>
          <w:sz w:val="18"/>
          <w:lang w:val="hr-HR"/>
        </w:rPr>
        <w:t>Plan se financira iz prihoda Osnivača – Općine Pribislavec, participacija roditelja, pomoći iz državnog proračuna te donacija i drugih prihoda. Prihod Osnivača u modelu predstavlja balansirajuću stavku kojom se plan izjednačava s ukupnim rashodima.</w:t>
      </w:r>
    </w:p>
    <w:tbl>
      <w:tblPr>
        <w:tblStyle w:val="12"/>
        <w:tblW w:w="111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5"/>
      </w:tblGrid>
      <w:tr w14:paraId="754BE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5" w:type="dxa"/>
            <w:shd w:val="clear" w:color="auto" w:fill="FFE7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C0C96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3.1.4. Funkcijska klasifikacija i račun financiranja</w:t>
            </w:r>
          </w:p>
        </w:tc>
      </w:tr>
    </w:tbl>
    <w:p w14:paraId="7B276902">
      <w:pPr>
        <w:rPr>
          <w:lang w:val="hr-HR"/>
        </w:rPr>
      </w:pPr>
    </w:p>
    <w:p w14:paraId="31F4742E">
      <w:pPr>
        <w:spacing w:after="140"/>
        <w:jc w:val="both"/>
        <w:rPr>
          <w:lang w:val="hr-HR"/>
        </w:rPr>
      </w:pPr>
      <w:r>
        <w:rPr>
          <w:sz w:val="18"/>
          <w:lang w:val="hr-HR"/>
        </w:rPr>
        <w:t>Svi planirani rashodi razvrstani su u funkciju 09 – Obrazovanje, odnosno 091 – Predškolsko i osnovno obrazovanje. U planiranom razdoblju ne planiraju se primici od zaduživanja niti izdaci za financijsku imovinu i otplatu zajmova, pa je neto financiranje 0 EUR.</w:t>
      </w:r>
    </w:p>
    <w:tbl>
      <w:tblPr>
        <w:tblStyle w:val="12"/>
        <w:tblW w:w="111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5"/>
      </w:tblGrid>
      <w:tr w14:paraId="19B3F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5" w:type="dxa"/>
            <w:shd w:val="clear" w:color="auto" w:fill="FFC5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9C555">
            <w:pPr>
              <w:rPr>
                <w:lang w:val="hr-HR"/>
              </w:rPr>
            </w:pPr>
            <w:r>
              <w:rPr>
                <w:b/>
                <w:sz w:val="19"/>
                <w:lang w:val="hr-HR"/>
              </w:rPr>
              <w:t>3.2. OBRAZLOŽENJE POSEBNOG DIJELA</w:t>
            </w:r>
          </w:p>
        </w:tc>
      </w:tr>
    </w:tbl>
    <w:p w14:paraId="29573539">
      <w:pPr>
        <w:rPr>
          <w:lang w:val="hr-HR"/>
        </w:rPr>
      </w:pPr>
    </w:p>
    <w:p w14:paraId="11A1A147">
      <w:pPr>
        <w:spacing w:after="140"/>
        <w:jc w:val="both"/>
        <w:rPr>
          <w:lang w:val="hr-HR"/>
        </w:rPr>
      </w:pPr>
      <w:r>
        <w:rPr>
          <w:sz w:val="18"/>
          <w:lang w:val="hr-HR"/>
        </w:rPr>
        <w:t>Program 1001 PREDŠKOLSKI ODGOJ obuhvaća redovnu djelatnost Vrtića i kapitalni projekt nabave opreme i nematerijalne imovine. Sredstva su planirana za zakonito, sigurno i kvalitetno ostvarivanje djelatnosti ranog i predškolskog odgoja i obrazovanja, zdravstvene zaštite, prehrane i socijalne skrbi djece.</w:t>
      </w:r>
    </w:p>
    <w:tbl>
      <w:tblPr>
        <w:tblStyle w:val="12"/>
        <w:tblW w:w="111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5"/>
      </w:tblGrid>
      <w:tr w14:paraId="36BE5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5" w:type="dxa"/>
            <w:shd w:val="clear" w:color="auto" w:fill="FFC5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4E4E8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Organizacija rada i programi</w:t>
            </w:r>
          </w:p>
        </w:tc>
      </w:tr>
    </w:tbl>
    <w:p w14:paraId="3E10FBC7">
      <w:pPr>
        <w:rPr>
          <w:lang w:val="hr-HR"/>
        </w:rPr>
      </w:pPr>
    </w:p>
    <w:p w14:paraId="2C97E16D">
      <w:pPr>
        <w:spacing w:after="140"/>
        <w:jc w:val="both"/>
        <w:rPr>
          <w:lang w:val="hr-HR"/>
        </w:rPr>
      </w:pPr>
      <w:r>
        <w:rPr>
          <w:sz w:val="18"/>
          <w:lang w:val="hr-HR"/>
        </w:rPr>
        <w:t>Prema dokumentaciji Vrtića, rad je organiziran u šest odgojnih skupina. Vrtić provodi redoviti program njege, odgoja, obrazovanja, zdravstvene zaštite, prehrane i socijalne skrbi, program predškole te druge programe u skladu s potrebama djece i roditelja. Kurikul za 2026. – 2031. usmjeren je na cjelovit razvoj djeteta, igru, istraživanje, partnerstvo s obitelji i lokalnom zajednicom.</w:t>
      </w:r>
    </w:p>
    <w:tbl>
      <w:tblPr>
        <w:tblStyle w:val="12"/>
        <w:tblW w:w="111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5"/>
      </w:tblGrid>
      <w:tr w14:paraId="4D507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5" w:type="dxa"/>
            <w:shd w:val="clear" w:color="auto" w:fill="FFC5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FEE29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Struktura zaposlenih / FTE</w:t>
            </w:r>
          </w:p>
        </w:tc>
      </w:tr>
    </w:tbl>
    <w:p w14:paraId="2267644C">
      <w:pPr>
        <w:rPr>
          <w:lang w:val="hr-HR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4"/>
        <w:gridCol w:w="2088"/>
        <w:gridCol w:w="4608"/>
      </w:tblGrid>
      <w:tr w14:paraId="032F2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4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E7E6E6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737F8E73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Radno mjesto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E7E6E6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7F88BF9E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Broj/FTE</w:t>
            </w:r>
          </w:p>
        </w:tc>
        <w:tc>
          <w:tcPr>
            <w:tcW w:w="46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E7E6E6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3C2C1BB1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Napomena</w:t>
            </w:r>
          </w:p>
        </w:tc>
      </w:tr>
      <w:tr w14:paraId="36366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424D5F7A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Ravnatelj (VŠS)</w:t>
            </w:r>
          </w:p>
        </w:tc>
        <w:tc>
          <w:tcPr>
            <w:tcW w:w="208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D54A683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1,0</w:t>
            </w:r>
          </w:p>
        </w:tc>
        <w:tc>
          <w:tcPr>
            <w:tcW w:w="460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384BC3E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Odluka 23. 7. 2026.</w:t>
            </w:r>
          </w:p>
        </w:tc>
      </w:tr>
      <w:tr w14:paraId="53AD3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60761D7C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Odgojitelj (VSS, stručni ispit)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E55F710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0,0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32F3F28F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Odluka 23. 7. 2026.</w:t>
            </w:r>
          </w:p>
        </w:tc>
      </w:tr>
      <w:tr w14:paraId="6EAB6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3755F8CE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Odgojitelj (VSS, bez stručnog ispita)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7836C2F6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0,0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67E2462F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Odluka 23. 7. 2026.</w:t>
            </w:r>
          </w:p>
        </w:tc>
      </w:tr>
      <w:tr w14:paraId="1FF34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415301BE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Odgojitelj (VŠS, stručni ispit)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876BC74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6,0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6E286D3A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Odluka 23. 7. 2026.</w:t>
            </w:r>
          </w:p>
        </w:tc>
      </w:tr>
      <w:tr w14:paraId="51092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531EF50E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Odgojitelj (VŠS, bez stručnog ispita)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65AC02FC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6,0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12FB62C7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Odluka 23. 7. 2026.</w:t>
            </w:r>
          </w:p>
        </w:tc>
      </w:tr>
    </w:tbl>
    <w:p w14:paraId="685C1FFC">
      <w:pPr>
        <w:rPr>
          <w:lang w:val="hr-HR"/>
        </w:rPr>
      </w:pPr>
    </w:p>
    <w:p w14:paraId="3143E75B">
      <w:pPr>
        <w:rPr>
          <w:lang w:val="hr-HR"/>
        </w:rPr>
      </w:pPr>
      <w:r>
        <w:rPr>
          <w:sz w:val="2"/>
          <w:lang w:val="hr-HR"/>
        </w:rPr>
        <w:br w:type="page"/>
      </w: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4"/>
        <w:gridCol w:w="2088"/>
        <w:gridCol w:w="4608"/>
      </w:tblGrid>
      <w:tr w14:paraId="16549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150F5B9D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Zdravstveni voditelj (VŠS)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093A4971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0,3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1C201865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Odluka 23. 7. 2026.</w:t>
            </w:r>
          </w:p>
        </w:tc>
      </w:tr>
      <w:tr w14:paraId="0838E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456BB2F5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Stručni suradnik – pedagog (VSS)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4FBD3047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1,0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7F1F461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Pretpostavljen položen stručni ispit</w:t>
            </w:r>
          </w:p>
        </w:tc>
      </w:tr>
      <w:tr w14:paraId="1CE77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09D7F53C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Kuhar (SSS)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3CE7A204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2,0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1D3F352B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Odluka 23. 7. 2026.</w:t>
            </w:r>
          </w:p>
        </w:tc>
      </w:tr>
      <w:tr w14:paraId="71192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75FC6AF7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Spremač (PKV/NSS)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6FA074C6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3,0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79ACB142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Odluka 23. 7. 2026.</w:t>
            </w:r>
          </w:p>
        </w:tc>
      </w:tr>
      <w:tr w14:paraId="77F06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4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6E3B868F">
            <w:pPr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UKUPNO FTE</w:t>
            </w:r>
          </w:p>
        </w:tc>
        <w:tc>
          <w:tcPr>
            <w:tcW w:w="2088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7CA6128F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19,3</w:t>
            </w:r>
          </w:p>
        </w:tc>
        <w:tc>
          <w:tcPr>
            <w:tcW w:w="4608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0A22E679">
            <w:pPr>
              <w:rPr>
                <w:lang w:val="hr-HR"/>
              </w:rPr>
            </w:pPr>
          </w:p>
        </w:tc>
      </w:tr>
    </w:tbl>
    <w:p w14:paraId="5BB0702B">
      <w:pPr>
        <w:rPr>
          <w:lang w:val="hr-HR"/>
        </w:rPr>
      </w:pPr>
    </w:p>
    <w:tbl>
      <w:tblPr>
        <w:tblStyle w:val="12"/>
        <w:tblW w:w="111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5"/>
      </w:tblGrid>
      <w:tr w14:paraId="20241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5" w:type="dxa"/>
            <w:shd w:val="clear" w:color="auto" w:fill="FFC5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C068D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Pokazatelji i ishodišta za izračun potrebnih sredstava</w:t>
            </w:r>
          </w:p>
        </w:tc>
      </w:tr>
    </w:tbl>
    <w:p w14:paraId="24625258">
      <w:pPr>
        <w:rPr>
          <w:lang w:val="hr-HR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2"/>
        <w:gridCol w:w="1944"/>
        <w:gridCol w:w="4104"/>
      </w:tblGrid>
      <w:tr w14:paraId="5A5E6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E7E6E6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6AFDB2E9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Pokazatelj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E7E6E6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1C596A6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2026.</w:t>
            </w:r>
          </w:p>
        </w:tc>
        <w:tc>
          <w:tcPr>
            <w:tcW w:w="41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E7E6E6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3431177A">
            <w:pPr>
              <w:jc w:val="center"/>
              <w:rPr>
                <w:lang w:val="hr-HR"/>
              </w:rPr>
            </w:pPr>
            <w:r>
              <w:rPr>
                <w:b/>
                <w:sz w:val="17"/>
                <w:lang w:val="hr-HR"/>
              </w:rPr>
              <w:t>Jedinica</w:t>
            </w:r>
          </w:p>
        </w:tc>
      </w:tr>
      <w:tr w14:paraId="14242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739B9A98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Broj odgojnih skupina</w:t>
            </w:r>
          </w:p>
        </w:tc>
        <w:tc>
          <w:tcPr>
            <w:tcW w:w="194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3386A3EB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6</w:t>
            </w:r>
          </w:p>
        </w:tc>
        <w:tc>
          <w:tcPr>
            <w:tcW w:w="410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4F4B3B06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skupina</w:t>
            </w:r>
          </w:p>
        </w:tc>
      </w:tr>
      <w:tr w14:paraId="137B7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4A215084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Broj djece – modelna pretpostavka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7B1AB0F7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108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4A03EBD7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djece</w:t>
            </w:r>
          </w:p>
        </w:tc>
      </w:tr>
      <w:tr w14:paraId="41170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02A5BA36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Ukupni rashodi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AE54B43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234.284,64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3985122C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EUR</w:t>
            </w:r>
          </w:p>
        </w:tc>
      </w:tr>
      <w:tr w14:paraId="3AEC4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AAAB51C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Ekonomska cijena po djetetu/mj.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71F2B9E7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542,33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07D2BEBE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EUR</w:t>
            </w:r>
          </w:p>
        </w:tc>
      </w:tr>
      <w:tr w14:paraId="669FE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148D90D4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Participacija roditelja po djetetu/mj.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15F9C5F2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108,47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A2B9FD8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EUR</w:t>
            </w:r>
          </w:p>
        </w:tc>
      </w:tr>
      <w:tr w14:paraId="7CD27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2067EF2B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Subvencija Osnivača po djetetu/mj. (uključujući druge izvore)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4E4F1505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433,86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4AE636D5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EUR</w:t>
            </w:r>
          </w:p>
        </w:tc>
      </w:tr>
      <w:tr w14:paraId="3DF12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31378A5C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Udio rashoda za zaposlene u ukupnim rashodima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3AC3A6B1">
            <w:pPr>
              <w:jc w:val="center"/>
              <w:rPr>
                <w:lang w:val="hr-HR"/>
              </w:rPr>
            </w:pPr>
            <w:r>
              <w:rPr>
                <w:sz w:val="17"/>
                <w:lang w:val="hr-HR"/>
              </w:rPr>
              <w:t>75,6%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5" w:type="dxa"/>
              <w:bottom w:w="10" w:type="dxa"/>
              <w:right w:w="45" w:type="dxa"/>
            </w:tcMar>
          </w:tcPr>
          <w:p w14:paraId="7EDEA1C6">
            <w:pPr>
              <w:rPr>
                <w:lang w:val="hr-HR"/>
              </w:rPr>
            </w:pPr>
            <w:r>
              <w:rPr>
                <w:sz w:val="17"/>
                <w:lang w:val="hr-HR"/>
              </w:rPr>
              <w:t>%</w:t>
            </w:r>
          </w:p>
        </w:tc>
      </w:tr>
    </w:tbl>
    <w:p w14:paraId="66B59B41">
      <w:pPr>
        <w:rPr>
          <w:lang w:val="hr-HR"/>
        </w:rPr>
      </w:pPr>
    </w:p>
    <w:tbl>
      <w:tblPr>
        <w:tblStyle w:val="12"/>
        <w:tblW w:w="111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5"/>
      </w:tblGrid>
      <w:tr w14:paraId="2B4C9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5" w:type="dxa"/>
            <w:shd w:val="clear" w:color="auto" w:fill="FFC5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1F0B7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Ciljevi i pokazatelji uspješnosti</w:t>
            </w:r>
          </w:p>
        </w:tc>
      </w:tr>
    </w:tbl>
    <w:p w14:paraId="3340CCF9">
      <w:pPr>
        <w:rPr>
          <w:lang w:val="hr-HR"/>
        </w:rPr>
      </w:pPr>
    </w:p>
    <w:p w14:paraId="580447A5">
      <w:pPr>
        <w:spacing w:after="100"/>
        <w:rPr>
          <w:lang w:val="hr-HR"/>
        </w:rPr>
      </w:pPr>
      <w:r>
        <w:rPr>
          <w:sz w:val="18"/>
          <w:lang w:val="hr-HR"/>
        </w:rPr>
        <w:t>• osigurati sigurno, poticajno i uključivo okruženje te dobrobit svakog djeteta;</w:t>
      </w:r>
    </w:p>
    <w:p w14:paraId="373D60F4">
      <w:pPr>
        <w:spacing w:after="100"/>
        <w:rPr>
          <w:lang w:val="hr-HR"/>
        </w:rPr>
      </w:pPr>
      <w:r>
        <w:rPr>
          <w:sz w:val="18"/>
          <w:lang w:val="hr-HR"/>
        </w:rPr>
        <w:t>• održavati usklađenost organizacije rada s Državnim pedagoškim standardom i važećim propisima;</w:t>
      </w:r>
    </w:p>
    <w:p w14:paraId="48BD4C94">
      <w:pPr>
        <w:spacing w:after="100"/>
        <w:rPr>
          <w:lang w:val="hr-HR"/>
        </w:rPr>
      </w:pPr>
      <w:r>
        <w:rPr>
          <w:sz w:val="18"/>
          <w:lang w:val="hr-HR"/>
        </w:rPr>
        <w:t>• osigurati dovoljan broj stručnih i pomoćno-tehničkih radnika za provedbu programa;</w:t>
      </w:r>
    </w:p>
    <w:p w14:paraId="212F9EBD">
      <w:pPr>
        <w:spacing w:after="100"/>
        <w:rPr>
          <w:lang w:val="hr-HR"/>
        </w:rPr>
      </w:pPr>
      <w:r>
        <w:rPr>
          <w:sz w:val="18"/>
          <w:lang w:val="hr-HR"/>
        </w:rPr>
        <w:t>• kontinuirano pratiti potrebe djece i roditelja, popunjenost skupina i kvalitetu programa;</w:t>
      </w:r>
    </w:p>
    <w:p w14:paraId="3AE96B63">
      <w:pPr>
        <w:spacing w:after="100"/>
        <w:rPr>
          <w:lang w:val="hr-HR"/>
        </w:rPr>
      </w:pPr>
      <w:r>
        <w:rPr>
          <w:sz w:val="18"/>
          <w:lang w:val="hr-HR"/>
        </w:rPr>
        <w:t>• ulagati u stručno usavršavanje radnika, opremu i materijalne uvjete rada;</w:t>
      </w:r>
    </w:p>
    <w:p w14:paraId="27C98DAF">
      <w:pPr>
        <w:spacing w:after="100"/>
        <w:rPr>
          <w:lang w:val="hr-HR"/>
        </w:rPr>
      </w:pPr>
      <w:r>
        <w:rPr>
          <w:sz w:val="18"/>
          <w:lang w:val="hr-HR"/>
        </w:rPr>
        <w:t>• razvijati partnerstvo s roditeljima, Osnivačem i lokalnom zajednicom te provoditi Kurikul Vrtića.</w:t>
      </w:r>
    </w:p>
    <w:tbl>
      <w:tblPr>
        <w:tblStyle w:val="12"/>
        <w:tblW w:w="111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5"/>
      </w:tblGrid>
      <w:tr w14:paraId="7D158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5" w:type="dxa"/>
            <w:shd w:val="clear" w:color="auto" w:fill="FFC5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D2872">
            <w:pPr>
              <w:rPr>
                <w:lang w:val="hr-HR"/>
              </w:rPr>
            </w:pPr>
            <w:r>
              <w:rPr>
                <w:b/>
                <w:sz w:val="18"/>
                <w:lang w:val="hr-HR"/>
              </w:rPr>
              <w:t>Završne odredbe</w:t>
            </w:r>
          </w:p>
        </w:tc>
      </w:tr>
    </w:tbl>
    <w:p w14:paraId="3EFF42BB">
      <w:pPr>
        <w:rPr>
          <w:lang w:val="hr-HR"/>
        </w:rPr>
      </w:pPr>
    </w:p>
    <w:p w14:paraId="61AFE828">
      <w:pPr>
        <w:rPr>
          <w:lang w:val="hr-HR"/>
        </w:rPr>
      </w:pPr>
      <w:r>
        <w:rPr>
          <w:sz w:val="18"/>
          <w:lang w:val="hr-HR"/>
        </w:rPr>
        <w:t>Svi iznosi u projekcijama za 2027. i 2028. ovise o modelnim pretpostavkama te ih je potrebno usklađivati s odlukama Osnivača, stvarnim brojem upisane djece, važećim osnovicama plaća, odobrenim pomoćima i stvarnim ugovornim cijenama.</w:t>
      </w:r>
    </w:p>
    <w:p w14:paraId="346A39C6">
      <w:pPr>
        <w:rPr>
          <w:lang w:val="hr-HR"/>
        </w:rPr>
        <w:sectPr>
          <w:footerReference r:id="rId13" w:type="default"/>
          <w:pgSz w:w="11905" w:h="16838"/>
          <w:pgMar w:top="648" w:right="360" w:bottom="648" w:left="360" w:header="288" w:footer="288" w:gutter="0"/>
          <w:cols w:space="720" w:num="1"/>
          <w:docGrid w:linePitch="360" w:charSpace="0"/>
        </w:sectPr>
      </w:pPr>
    </w:p>
    <w:tbl>
      <w:tblPr>
        <w:tblStyle w:val="12"/>
        <w:tblW w:w="111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7990"/>
        <w:gridCol w:w="1597"/>
      </w:tblGrid>
      <w:tr w14:paraId="085C2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372257">
            <w:pPr>
              <w:rPr>
                <w:lang w:val="hr-HR"/>
              </w:rPr>
            </w:pPr>
          </w:p>
        </w:tc>
        <w:tc>
          <w:tcPr>
            <w:tcW w:w="7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02D5366">
            <w:pPr>
              <w:rPr>
                <w:lang w:val="hr-HR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5E54A32">
            <w:pPr>
              <w:rPr>
                <w:lang w:val="hr-HR"/>
              </w:rPr>
            </w:pPr>
          </w:p>
        </w:tc>
      </w:tr>
      <w:tr w14:paraId="0652D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</w:trPr>
        <w:tc>
          <w:tcPr>
            <w:tcW w:w="1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7F3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5E4A3D">
            <w:pPr>
              <w:jc w:val="center"/>
              <w:rPr>
                <w:lang w:val="hr-HR"/>
              </w:rPr>
            </w:pPr>
            <w:r>
              <w:rPr>
                <w:b/>
                <w:color w:val="000000"/>
                <w:lang w:val="hr-HR"/>
              </w:rPr>
              <w:t>ČLANAK 3.</w:t>
            </w:r>
          </w:p>
        </w:tc>
      </w:tr>
      <w:tr w14:paraId="75249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exact"/>
        </w:trPr>
        <w:tc>
          <w:tcPr>
            <w:tcW w:w="1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2E42322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Ovaj Financijski plan stupa na snagu danom donošenja, a objavljuje se na oglasnoj ploči i mrežnoj stranici Dječjeg vrtića „Magnolija“. </w:t>
            </w:r>
          </w:p>
        </w:tc>
      </w:tr>
      <w:tr w14:paraId="063FF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78D503B">
            <w:pPr>
              <w:rPr>
                <w:lang w:val="hr-HR"/>
              </w:rPr>
            </w:pPr>
          </w:p>
        </w:tc>
        <w:tc>
          <w:tcPr>
            <w:tcW w:w="7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34B9BF6">
            <w:pPr>
              <w:rPr>
                <w:lang w:val="hr-HR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6AAEC82">
            <w:pPr>
              <w:rPr>
                <w:lang w:val="hr-HR"/>
              </w:rPr>
            </w:pPr>
          </w:p>
        </w:tc>
      </w:tr>
    </w:tbl>
    <w:p w14:paraId="5C7311E5">
      <w:pPr>
        <w:spacing w:before="200" w:after="60" w:line="247" w:lineRule="auto"/>
        <w:rPr>
          <w:rFonts w:hint="default" w:eastAsiaTheme="minorEastAsia"/>
          <w:sz w:val="20"/>
          <w:lang w:val="hr-HR"/>
        </w:rPr>
      </w:pPr>
      <w:r>
        <w:rPr>
          <w:rFonts w:eastAsiaTheme="minorEastAsia"/>
          <w:b/>
          <w:sz w:val="20"/>
          <w:lang w:val="hr-HR"/>
        </w:rPr>
        <w:t>KLASA:</w:t>
      </w:r>
      <w:r>
        <w:rPr>
          <w:rFonts w:hint="default" w:eastAsiaTheme="minorEastAsia"/>
          <w:b/>
          <w:sz w:val="20"/>
          <w:lang w:val="hr-HR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400-02/26-01/01</w:t>
      </w:r>
    </w:p>
    <w:p w14:paraId="45827091">
      <w:pPr>
        <w:spacing w:after="60" w:line="247" w:lineRule="auto"/>
        <w:rPr>
          <w:rFonts w:hint="default" w:eastAsiaTheme="minorEastAsia"/>
          <w:sz w:val="20"/>
          <w:lang w:val="hr-HR"/>
        </w:rPr>
      </w:pPr>
      <w:r>
        <w:rPr>
          <w:rFonts w:eastAsiaTheme="minorEastAsia"/>
          <w:b/>
          <w:sz w:val="20"/>
          <w:lang w:val="hr-HR"/>
        </w:rPr>
        <w:t>URBROJ:</w:t>
      </w:r>
      <w:r>
        <w:rPr>
          <w:rFonts w:hint="default" w:eastAsiaTheme="minorEastAsia"/>
          <w:b/>
          <w:sz w:val="20"/>
          <w:lang w:val="hr-HR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2109-26-1-02-26-1</w:t>
      </w:r>
    </w:p>
    <w:p w14:paraId="09C501FD">
      <w:pPr>
        <w:spacing w:after="60" w:line="247" w:lineRule="auto"/>
        <w:rPr>
          <w:rFonts w:eastAsiaTheme="minorEastAsia"/>
          <w:sz w:val="20"/>
          <w:lang w:val="hr-HR"/>
        </w:rPr>
      </w:pPr>
      <w:r>
        <w:rPr>
          <w:rFonts w:eastAsiaTheme="minorEastAsia"/>
          <w:sz w:val="20"/>
          <w:lang w:val="hr-HR"/>
        </w:rPr>
        <w:t>Pribislavec, 23. srpnja 2026. godine</w:t>
      </w:r>
    </w:p>
    <w:p w14:paraId="558B8835">
      <w:pPr>
        <w:spacing w:after="60" w:line="247" w:lineRule="auto"/>
        <w:jc w:val="right"/>
        <w:rPr>
          <w:rFonts w:eastAsiaTheme="minorEastAsia"/>
          <w:b/>
          <w:lang w:val="hr-HR"/>
        </w:rPr>
      </w:pPr>
    </w:p>
    <w:p w14:paraId="65EA06AC">
      <w:pPr>
        <w:spacing w:after="60" w:line="247" w:lineRule="auto"/>
        <w:jc w:val="right"/>
        <w:rPr>
          <w:rFonts w:eastAsiaTheme="minorEastAsia"/>
          <w:sz w:val="20"/>
          <w:lang w:val="hr-HR"/>
        </w:rPr>
      </w:pPr>
      <w:r>
        <w:rPr>
          <w:rFonts w:eastAsiaTheme="minorEastAsia"/>
          <w:b/>
          <w:lang w:val="hr-HR"/>
        </w:rPr>
        <w:t>PREDSJEDNICA UPRAVNOG VIJEĆA</w:t>
      </w:r>
    </w:p>
    <w:p w14:paraId="5E0EE46D">
      <w:pPr>
        <w:spacing w:after="60" w:line="247" w:lineRule="auto"/>
        <w:jc w:val="right"/>
        <w:rPr>
          <w:rFonts w:eastAsiaTheme="minorEastAsia"/>
          <w:sz w:val="20"/>
          <w:lang w:val="hr-HR"/>
        </w:rPr>
      </w:pPr>
      <w:r>
        <w:rPr>
          <w:rFonts w:eastAsiaTheme="minorEastAsia"/>
          <w:lang w:val="hr-HR"/>
        </w:rPr>
        <w:t>Dječjeg vrtića „Magnolija“</w:t>
      </w:r>
    </w:p>
    <w:p w14:paraId="7C5E11AB">
      <w:pPr>
        <w:spacing w:after="60" w:line="247" w:lineRule="auto"/>
        <w:rPr>
          <w:rFonts w:eastAsiaTheme="minorEastAsia"/>
          <w:sz w:val="20"/>
          <w:lang w:val="hr-HR"/>
        </w:rPr>
      </w:pPr>
      <w:r>
        <w:rPr>
          <w:lang w:val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5676900</wp:posOffset>
            </wp:positionH>
            <wp:positionV relativeFrom="paragraph">
              <wp:posOffset>52705</wp:posOffset>
            </wp:positionV>
            <wp:extent cx="1123950" cy="541020"/>
            <wp:effectExtent l="0" t="0" r="0" b="0"/>
            <wp:wrapSquare wrapText="bothSides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D8D8CA">
      <w:pPr>
        <w:spacing w:after="60" w:line="247" w:lineRule="auto"/>
        <w:rPr>
          <w:rFonts w:eastAsiaTheme="minorEastAsia"/>
          <w:sz w:val="20"/>
          <w:lang w:val="hr-HR"/>
        </w:rPr>
      </w:pPr>
    </w:p>
    <w:p w14:paraId="6769F62A">
      <w:pPr>
        <w:spacing w:after="60" w:line="247" w:lineRule="auto"/>
        <w:jc w:val="right"/>
        <w:rPr>
          <w:rFonts w:eastAsiaTheme="minorEastAsia"/>
          <w:lang w:val="hr-HR"/>
        </w:rPr>
      </w:pPr>
    </w:p>
    <w:p w14:paraId="7D018709">
      <w:pPr>
        <w:spacing w:after="60" w:line="247" w:lineRule="auto"/>
        <w:jc w:val="right"/>
        <w:rPr>
          <w:rFonts w:eastAsiaTheme="minorEastAsia"/>
          <w:sz w:val="20"/>
          <w:lang w:val="hr-HR"/>
        </w:rPr>
      </w:pPr>
      <w:r>
        <w:rPr>
          <w:rFonts w:eastAsiaTheme="minorEastAsia"/>
          <w:lang w:val="hr-HR"/>
        </w:rPr>
        <w:t>______________________________</w:t>
      </w:r>
    </w:p>
    <w:p w14:paraId="3EA65350">
      <w:pPr>
        <w:spacing w:after="60" w:line="247" w:lineRule="auto"/>
        <w:jc w:val="right"/>
        <w:rPr>
          <w:rFonts w:eastAsiaTheme="minorEastAsia"/>
          <w:sz w:val="20"/>
          <w:lang w:val="hr-HR"/>
        </w:rPr>
      </w:pPr>
      <w:bookmarkStart w:id="0" w:name="_GoBack"/>
      <w:bookmarkEnd w:id="0"/>
      <w:r>
        <w:rPr>
          <w:rFonts w:eastAsiaTheme="minorEastAsia"/>
          <w:lang w:val="hr-HR"/>
        </w:rPr>
        <w:t>doc. dr. sc. Dina Korent</w:t>
      </w:r>
    </w:p>
    <w:p w14:paraId="0DD70566">
      <w:pPr>
        <w:spacing w:after="60" w:line="247" w:lineRule="auto"/>
        <w:rPr>
          <w:rFonts w:eastAsiaTheme="minorEastAsia"/>
          <w:sz w:val="20"/>
          <w:lang w:val="hr-HR"/>
        </w:rPr>
      </w:pPr>
    </w:p>
    <w:p w14:paraId="0CF6CBA9">
      <w:pPr>
        <w:spacing w:after="60" w:line="247" w:lineRule="auto"/>
        <w:rPr>
          <w:rFonts w:eastAsiaTheme="minorEastAsia"/>
          <w:sz w:val="20"/>
          <w:lang w:val="hr-HR"/>
        </w:rPr>
      </w:pPr>
    </w:p>
    <w:p w14:paraId="72EFCF4F">
      <w:pPr>
        <w:spacing w:after="60" w:line="247" w:lineRule="auto"/>
        <w:jc w:val="right"/>
        <w:rPr>
          <w:rFonts w:eastAsiaTheme="minorEastAsia"/>
          <w:sz w:val="20"/>
          <w:lang w:val="hr-HR"/>
        </w:rPr>
      </w:pPr>
      <w:r>
        <w:rPr>
          <w:rFonts w:eastAsiaTheme="minorEastAsia"/>
          <w:b/>
          <w:lang w:val="hr-HR"/>
        </w:rPr>
        <w:t xml:space="preserve">RAVNATELJICA  </w:t>
      </w:r>
    </w:p>
    <w:p w14:paraId="74F0FD63">
      <w:pPr>
        <w:spacing w:after="60" w:line="247" w:lineRule="auto"/>
        <w:jc w:val="right"/>
        <w:rPr>
          <w:rFonts w:eastAsiaTheme="minorEastAsia"/>
          <w:sz w:val="20"/>
          <w:lang w:val="hr-HR"/>
        </w:rPr>
      </w:pPr>
      <w:r>
        <w:rPr>
          <w:rFonts w:eastAsiaTheme="minorEastAsia"/>
          <w:lang w:val="hr-HR"/>
        </w:rPr>
        <w:t xml:space="preserve">Dječjeg vrtića „Magnolija“ </w:t>
      </w:r>
    </w:p>
    <w:p w14:paraId="5C35AA30">
      <w:pPr>
        <w:spacing w:after="60" w:line="247" w:lineRule="auto"/>
        <w:rPr>
          <w:rFonts w:eastAsiaTheme="minorEastAsia"/>
          <w:sz w:val="20"/>
          <w:lang w:val="hr-HR"/>
        </w:rPr>
      </w:pPr>
      <w:r>
        <w:rPr>
          <w:lang w:val="hr-H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5501640</wp:posOffset>
            </wp:positionH>
            <wp:positionV relativeFrom="paragraph">
              <wp:posOffset>7620</wp:posOffset>
            </wp:positionV>
            <wp:extent cx="1591945" cy="629285"/>
            <wp:effectExtent l="0" t="0" r="8255" b="0"/>
            <wp:wrapSquare wrapText="bothSides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CECA95">
      <w:pPr>
        <w:spacing w:after="60" w:line="247" w:lineRule="auto"/>
        <w:rPr>
          <w:rFonts w:eastAsiaTheme="minorEastAsia"/>
          <w:sz w:val="20"/>
          <w:lang w:val="hr-HR"/>
        </w:rPr>
      </w:pPr>
    </w:p>
    <w:p w14:paraId="373316FF">
      <w:pPr>
        <w:spacing w:after="60" w:line="247" w:lineRule="auto"/>
        <w:jc w:val="right"/>
        <w:rPr>
          <w:rFonts w:eastAsiaTheme="minorEastAsia"/>
          <w:lang w:val="hr-HR"/>
        </w:rPr>
      </w:pPr>
    </w:p>
    <w:p w14:paraId="08C2575E">
      <w:pPr>
        <w:spacing w:after="60" w:line="247" w:lineRule="auto"/>
        <w:jc w:val="right"/>
        <w:rPr>
          <w:rFonts w:eastAsiaTheme="minorEastAsia"/>
          <w:lang w:val="hr-HR"/>
        </w:rPr>
      </w:pPr>
    </w:p>
    <w:p w14:paraId="453E731F">
      <w:pPr>
        <w:spacing w:after="60" w:line="247" w:lineRule="auto"/>
        <w:jc w:val="right"/>
        <w:rPr>
          <w:rFonts w:eastAsiaTheme="minorEastAsia"/>
          <w:sz w:val="20"/>
          <w:lang w:val="hr-HR"/>
        </w:rPr>
      </w:pPr>
      <w:r>
        <w:rPr>
          <w:rFonts w:eastAsiaTheme="minorEastAsia"/>
          <w:lang w:val="hr-HR"/>
        </w:rPr>
        <w:t>______________________________</w:t>
      </w:r>
    </w:p>
    <w:p w14:paraId="07D3408F">
      <w:pPr>
        <w:spacing w:after="60" w:line="247" w:lineRule="auto"/>
        <w:jc w:val="right"/>
        <w:rPr>
          <w:rFonts w:eastAsiaTheme="minorEastAsia"/>
          <w:sz w:val="20"/>
          <w:lang w:val="hr-HR"/>
        </w:rPr>
      </w:pPr>
      <w:r>
        <w:rPr>
          <w:rFonts w:eastAsiaTheme="minorEastAsia"/>
          <w:lang w:val="hr-HR"/>
        </w:rPr>
        <w:t xml:space="preserve">Dina Barić Baksa, bacc. praesc. educ. </w:t>
      </w:r>
    </w:p>
    <w:p w14:paraId="0F954DEB">
      <w:pPr>
        <w:rPr>
          <w:lang w:val="hr-HR"/>
        </w:rPr>
      </w:pPr>
    </w:p>
    <w:sectPr>
      <w:footerReference r:id="rId14" w:type="default"/>
      <w:pgSz w:w="11905" w:h="16838"/>
      <w:pgMar w:top="648" w:right="360" w:bottom="648" w:left="360" w:header="288" w:footer="28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7A7A7">
    <w:pPr>
      <w:pStyle w:val="18"/>
      <w:jc w:val="center"/>
    </w:pPr>
    <w:r>
      <w:rPr>
        <w:sz w:val="16"/>
      </w:rPr>
      <w:t xml:space="preserve">Stranica </w:t>
    </w:r>
    <w:r>
      <w:rPr>
        <w:sz w:val="16"/>
      </w:rPr>
      <w:fldChar w:fldCharType="begin"/>
    </w:r>
    <w:r>
      <w:rPr>
        <w:sz w:val="16"/>
      </w:rPr>
      <w:instrText xml:space="preserve">PAGE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od </w:t>
    </w:r>
    <w:r>
      <w:rPr>
        <w:sz w:val="16"/>
      </w:rPr>
      <w:fldChar w:fldCharType="begin"/>
    </w:r>
    <w:r>
      <w:rPr>
        <w:sz w:val="16"/>
      </w:rPr>
      <w:instrText xml:space="preserve">NUMPAGES</w:instrText>
    </w:r>
    <w:r>
      <w:rPr>
        <w:sz w:val="16"/>
      </w:rP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68397">
    <w:pPr>
      <w:pStyle w:val="18"/>
      <w:jc w:val="center"/>
    </w:pPr>
    <w:r>
      <w:rPr>
        <w:sz w:val="16"/>
      </w:rPr>
      <w:t xml:space="preserve">Stranica </w:t>
    </w:r>
    <w:r>
      <w:rPr>
        <w:sz w:val="16"/>
      </w:rPr>
      <w:fldChar w:fldCharType="begin"/>
    </w:r>
    <w:r>
      <w:rPr>
        <w:sz w:val="16"/>
      </w:rPr>
      <w:instrText xml:space="preserve">PAGE</w:instrText>
    </w:r>
    <w:r>
      <w:rPr>
        <w:sz w:val="16"/>
      </w:rPr>
      <w:fldChar w:fldCharType="separate"/>
    </w:r>
    <w:r>
      <w:rPr>
        <w:sz w:val="16"/>
      </w:rPr>
      <w:t>13</w:t>
    </w:r>
    <w:r>
      <w:rPr>
        <w:sz w:val="16"/>
      </w:rPr>
      <w:fldChar w:fldCharType="end"/>
    </w:r>
    <w:r>
      <w:rPr>
        <w:sz w:val="16"/>
      </w:rPr>
      <w:t xml:space="preserve"> od </w:t>
    </w:r>
    <w:r>
      <w:rPr>
        <w:sz w:val="16"/>
      </w:rPr>
      <w:fldChar w:fldCharType="begin"/>
    </w:r>
    <w:r>
      <w:rPr>
        <w:sz w:val="16"/>
      </w:rPr>
      <w:instrText xml:space="preserve">NUMPAGES</w:instrText>
    </w:r>
    <w:r>
      <w:rPr>
        <w:sz w:val="16"/>
      </w:rPr>
      <w:fldChar w:fldCharType="separate"/>
    </w:r>
    <w:r>
      <w:rPr>
        <w:sz w:val="16"/>
      </w:rPr>
      <w:t>13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2358B">
    <w:pPr>
      <w:pStyle w:val="18"/>
      <w:jc w:val="center"/>
    </w:pPr>
    <w:r>
      <w:rPr>
        <w:sz w:val="16"/>
      </w:rPr>
      <w:t xml:space="preserve">Stranica </w:t>
    </w:r>
    <w:r>
      <w:rPr>
        <w:sz w:val="16"/>
      </w:rPr>
      <w:fldChar w:fldCharType="begin"/>
    </w:r>
    <w:r>
      <w:rPr>
        <w:sz w:val="16"/>
      </w:rPr>
      <w:instrText xml:space="preserve">PAGE</w:instrText>
    </w:r>
    <w:r>
      <w:rPr>
        <w:sz w:val="16"/>
      </w:rPr>
      <w:fldChar w:fldCharType="separate"/>
    </w:r>
    <w:r>
      <w:rPr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od </w:t>
    </w:r>
    <w:r>
      <w:rPr>
        <w:sz w:val="16"/>
      </w:rPr>
      <w:fldChar w:fldCharType="begin"/>
    </w:r>
    <w:r>
      <w:rPr>
        <w:sz w:val="16"/>
      </w:rPr>
      <w:instrText xml:space="preserve">NUMPAGES</w:instrText>
    </w:r>
    <w:r>
      <w:rPr>
        <w:sz w:val="16"/>
      </w:rPr>
      <w:fldChar w:fldCharType="separate"/>
    </w:r>
    <w:r>
      <w:rPr>
        <w:sz w:val="16"/>
      </w:rPr>
      <w:t>3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9A3D9">
    <w:pPr>
      <w:pStyle w:val="18"/>
      <w:jc w:val="center"/>
    </w:pPr>
    <w:r>
      <w:rPr>
        <w:sz w:val="16"/>
      </w:rPr>
      <w:t xml:space="preserve">Stranica </w:t>
    </w:r>
    <w:r>
      <w:rPr>
        <w:sz w:val="16"/>
      </w:rPr>
      <w:fldChar w:fldCharType="begin"/>
    </w:r>
    <w:r>
      <w:rPr>
        <w:sz w:val="16"/>
      </w:rPr>
      <w:instrText xml:space="preserve">PAGE</w:instrText>
    </w:r>
    <w:r>
      <w:rPr>
        <w:sz w:val="16"/>
      </w:rPr>
      <w:fldChar w:fldCharType="separate"/>
    </w:r>
    <w:r>
      <w:rPr>
        <w:sz w:val="16"/>
      </w:rPr>
      <w:t>3</w:t>
    </w:r>
    <w:r>
      <w:rPr>
        <w:sz w:val="16"/>
      </w:rPr>
      <w:fldChar w:fldCharType="end"/>
    </w:r>
    <w:r>
      <w:rPr>
        <w:sz w:val="16"/>
      </w:rPr>
      <w:t xml:space="preserve"> od </w:t>
    </w:r>
    <w:r>
      <w:rPr>
        <w:sz w:val="16"/>
      </w:rPr>
      <w:fldChar w:fldCharType="begin"/>
    </w:r>
    <w:r>
      <w:rPr>
        <w:sz w:val="16"/>
      </w:rPr>
      <w:instrText xml:space="preserve">NUMPAGES</w:instrText>
    </w:r>
    <w:r>
      <w:rPr>
        <w:sz w:val="16"/>
      </w:rPr>
      <w:fldChar w:fldCharType="separate"/>
    </w:r>
    <w:r>
      <w:rPr>
        <w:sz w:val="16"/>
      </w:rPr>
      <w:t>4</w:t>
    </w:r>
    <w:r>
      <w:rPr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6C7C">
    <w:pPr>
      <w:pStyle w:val="18"/>
      <w:jc w:val="center"/>
    </w:pPr>
    <w:r>
      <w:rPr>
        <w:sz w:val="16"/>
      </w:rPr>
      <w:t xml:space="preserve">Stranica </w:t>
    </w:r>
    <w:r>
      <w:rPr>
        <w:sz w:val="16"/>
      </w:rPr>
      <w:fldChar w:fldCharType="begin"/>
    </w:r>
    <w:r>
      <w:rPr>
        <w:sz w:val="16"/>
      </w:rPr>
      <w:instrText xml:space="preserve">PAGE</w:instrText>
    </w:r>
    <w:r>
      <w:rPr>
        <w:sz w:val="16"/>
      </w:rPr>
      <w:fldChar w:fldCharType="separate"/>
    </w:r>
    <w:r>
      <w:rPr>
        <w:sz w:val="16"/>
      </w:rPr>
      <w:t>4</w:t>
    </w:r>
    <w:r>
      <w:rPr>
        <w:sz w:val="16"/>
      </w:rPr>
      <w:fldChar w:fldCharType="end"/>
    </w:r>
    <w:r>
      <w:rPr>
        <w:sz w:val="16"/>
      </w:rPr>
      <w:t xml:space="preserve"> od </w:t>
    </w:r>
    <w:r>
      <w:rPr>
        <w:sz w:val="16"/>
      </w:rPr>
      <w:fldChar w:fldCharType="begin"/>
    </w:r>
    <w:r>
      <w:rPr>
        <w:sz w:val="16"/>
      </w:rPr>
      <w:instrText xml:space="preserve">NUMPAGES</w:instrText>
    </w:r>
    <w:r>
      <w:rPr>
        <w:sz w:val="16"/>
      </w:rPr>
      <w:fldChar w:fldCharType="separate"/>
    </w:r>
    <w:r>
      <w:rPr>
        <w:sz w:val="16"/>
      </w:rPr>
      <w:t>5</w:t>
    </w:r>
    <w:r>
      <w:rPr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43BD5">
    <w:pPr>
      <w:pStyle w:val="18"/>
      <w:jc w:val="center"/>
    </w:pPr>
    <w:r>
      <w:rPr>
        <w:sz w:val="16"/>
      </w:rPr>
      <w:t xml:space="preserve">Stranica </w:t>
    </w:r>
    <w:r>
      <w:rPr>
        <w:sz w:val="16"/>
      </w:rPr>
      <w:fldChar w:fldCharType="begin"/>
    </w:r>
    <w:r>
      <w:rPr>
        <w:sz w:val="16"/>
      </w:rPr>
      <w:instrText xml:space="preserve">PAGE</w:instrText>
    </w:r>
    <w:r>
      <w:rPr>
        <w:sz w:val="16"/>
      </w:rPr>
      <w:fldChar w:fldCharType="separate"/>
    </w:r>
    <w:r>
      <w:rPr>
        <w:sz w:val="16"/>
      </w:rPr>
      <w:t>6</w:t>
    </w:r>
    <w:r>
      <w:rPr>
        <w:sz w:val="16"/>
      </w:rPr>
      <w:fldChar w:fldCharType="end"/>
    </w:r>
    <w:r>
      <w:rPr>
        <w:sz w:val="16"/>
      </w:rPr>
      <w:t xml:space="preserve"> od </w:t>
    </w:r>
    <w:r>
      <w:rPr>
        <w:sz w:val="16"/>
      </w:rPr>
      <w:fldChar w:fldCharType="begin"/>
    </w:r>
    <w:r>
      <w:rPr>
        <w:sz w:val="16"/>
      </w:rPr>
      <w:instrText xml:space="preserve">NUMPAGES</w:instrText>
    </w:r>
    <w:r>
      <w:rPr>
        <w:sz w:val="16"/>
      </w:rPr>
      <w:fldChar w:fldCharType="separate"/>
    </w:r>
    <w:r>
      <w:rPr>
        <w:sz w:val="16"/>
      </w:rPr>
      <w:t>7</w:t>
    </w:r>
    <w:r>
      <w:rPr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17212">
    <w:pPr>
      <w:pStyle w:val="18"/>
      <w:jc w:val="center"/>
    </w:pPr>
    <w:r>
      <w:rPr>
        <w:sz w:val="16"/>
      </w:rPr>
      <w:t xml:space="preserve">Stranica </w:t>
    </w:r>
    <w:r>
      <w:rPr>
        <w:sz w:val="16"/>
      </w:rPr>
      <w:fldChar w:fldCharType="begin"/>
    </w:r>
    <w:r>
      <w:rPr>
        <w:sz w:val="16"/>
      </w:rPr>
      <w:instrText xml:space="preserve">PAGE</w:instrText>
    </w:r>
    <w:r>
      <w:rPr>
        <w:sz w:val="16"/>
      </w:rPr>
      <w:fldChar w:fldCharType="separate"/>
    </w:r>
    <w:r>
      <w:rPr>
        <w:sz w:val="16"/>
      </w:rPr>
      <w:t>7</w:t>
    </w:r>
    <w:r>
      <w:rPr>
        <w:sz w:val="16"/>
      </w:rPr>
      <w:fldChar w:fldCharType="end"/>
    </w:r>
    <w:r>
      <w:rPr>
        <w:sz w:val="16"/>
      </w:rPr>
      <w:t xml:space="preserve"> od </w:t>
    </w:r>
    <w:r>
      <w:rPr>
        <w:sz w:val="16"/>
      </w:rPr>
      <w:fldChar w:fldCharType="begin"/>
    </w:r>
    <w:r>
      <w:rPr>
        <w:sz w:val="16"/>
      </w:rPr>
      <w:instrText xml:space="preserve">NUMPAGES</w:instrText>
    </w:r>
    <w:r>
      <w:rPr>
        <w:sz w:val="16"/>
      </w:rPr>
      <w:fldChar w:fldCharType="separate"/>
    </w:r>
    <w:r>
      <w:rPr>
        <w:sz w:val="16"/>
      </w:rPr>
      <w:t>8</w:t>
    </w:r>
    <w:r>
      <w:rPr>
        <w:sz w:val="16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7BAFA">
    <w:pPr>
      <w:pStyle w:val="18"/>
      <w:jc w:val="center"/>
    </w:pPr>
    <w:r>
      <w:rPr>
        <w:sz w:val="16"/>
      </w:rPr>
      <w:t xml:space="preserve">Stranica </w:t>
    </w:r>
    <w:r>
      <w:rPr>
        <w:sz w:val="16"/>
      </w:rPr>
      <w:fldChar w:fldCharType="begin"/>
    </w:r>
    <w:r>
      <w:rPr>
        <w:sz w:val="16"/>
      </w:rPr>
      <w:instrText xml:space="preserve">PAGE</w:instrText>
    </w:r>
    <w:r>
      <w:rPr>
        <w:sz w:val="16"/>
      </w:rPr>
      <w:fldChar w:fldCharType="separate"/>
    </w:r>
    <w:r>
      <w:rPr>
        <w:sz w:val="16"/>
      </w:rPr>
      <w:t>8</w:t>
    </w:r>
    <w:r>
      <w:rPr>
        <w:sz w:val="16"/>
      </w:rPr>
      <w:fldChar w:fldCharType="end"/>
    </w:r>
    <w:r>
      <w:rPr>
        <w:sz w:val="16"/>
      </w:rPr>
      <w:t xml:space="preserve"> od </w:t>
    </w:r>
    <w:r>
      <w:rPr>
        <w:sz w:val="16"/>
      </w:rPr>
      <w:fldChar w:fldCharType="begin"/>
    </w:r>
    <w:r>
      <w:rPr>
        <w:sz w:val="16"/>
      </w:rPr>
      <w:instrText xml:space="preserve">NUMPAGES</w:instrText>
    </w:r>
    <w:r>
      <w:rPr>
        <w:sz w:val="16"/>
      </w:rPr>
      <w:fldChar w:fldCharType="separate"/>
    </w:r>
    <w:r>
      <w:rPr>
        <w:sz w:val="16"/>
      </w:rPr>
      <w:t>9</w:t>
    </w:r>
    <w:r>
      <w:rPr>
        <w:sz w:val="16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10D040">
    <w:pPr>
      <w:pStyle w:val="18"/>
      <w:jc w:val="center"/>
    </w:pPr>
    <w:r>
      <w:rPr>
        <w:sz w:val="16"/>
      </w:rPr>
      <w:t xml:space="preserve">Stranica </w:t>
    </w:r>
    <w:r>
      <w:rPr>
        <w:sz w:val="16"/>
      </w:rPr>
      <w:fldChar w:fldCharType="begin"/>
    </w:r>
    <w:r>
      <w:rPr>
        <w:sz w:val="16"/>
      </w:rPr>
      <w:instrText xml:space="preserve">PAGE</w:instrText>
    </w:r>
    <w:r>
      <w:rPr>
        <w:sz w:val="16"/>
      </w:rPr>
      <w:fldChar w:fldCharType="separate"/>
    </w:r>
    <w:r>
      <w:rPr>
        <w:sz w:val="16"/>
      </w:rPr>
      <w:t>9</w:t>
    </w:r>
    <w:r>
      <w:rPr>
        <w:sz w:val="16"/>
      </w:rPr>
      <w:fldChar w:fldCharType="end"/>
    </w:r>
    <w:r>
      <w:rPr>
        <w:sz w:val="16"/>
      </w:rPr>
      <w:t xml:space="preserve"> od </w:t>
    </w:r>
    <w:r>
      <w:rPr>
        <w:sz w:val="16"/>
      </w:rPr>
      <w:fldChar w:fldCharType="begin"/>
    </w:r>
    <w:r>
      <w:rPr>
        <w:sz w:val="16"/>
      </w:rPr>
      <w:instrText xml:space="preserve">NUMPAGES</w:instrText>
    </w:r>
    <w:r>
      <w:rPr>
        <w:sz w:val="16"/>
      </w:rPr>
      <w:fldChar w:fldCharType="separate"/>
    </w:r>
    <w:r>
      <w:rPr>
        <w:sz w:val="16"/>
      </w:rPr>
      <w:t>10</w:t>
    </w:r>
    <w:r>
      <w:rPr>
        <w:sz w:val="16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61A4E">
    <w:pPr>
      <w:pStyle w:val="18"/>
      <w:jc w:val="center"/>
    </w:pPr>
    <w:r>
      <w:rPr>
        <w:sz w:val="16"/>
      </w:rPr>
      <w:t xml:space="preserve">Stranica </w:t>
    </w:r>
    <w:r>
      <w:rPr>
        <w:sz w:val="16"/>
      </w:rPr>
      <w:fldChar w:fldCharType="begin"/>
    </w:r>
    <w:r>
      <w:rPr>
        <w:sz w:val="16"/>
      </w:rPr>
      <w:instrText xml:space="preserve">PAGE</w:instrText>
    </w:r>
    <w:r>
      <w:rPr>
        <w:sz w:val="16"/>
      </w:rPr>
      <w:fldChar w:fldCharType="separate"/>
    </w:r>
    <w:r>
      <w:rPr>
        <w:sz w:val="16"/>
      </w:rPr>
      <w:t>11</w:t>
    </w:r>
    <w:r>
      <w:rPr>
        <w:sz w:val="16"/>
      </w:rPr>
      <w:fldChar w:fldCharType="end"/>
    </w:r>
    <w:r>
      <w:rPr>
        <w:sz w:val="16"/>
      </w:rPr>
      <w:t xml:space="preserve"> od </w:t>
    </w:r>
    <w:r>
      <w:rPr>
        <w:sz w:val="16"/>
      </w:rPr>
      <w:fldChar w:fldCharType="begin"/>
    </w:r>
    <w:r>
      <w:rPr>
        <w:sz w:val="16"/>
      </w:rPr>
      <w:instrText xml:space="preserve">NUMPAGES</w:instrText>
    </w:r>
    <w:r>
      <w:rPr>
        <w:sz w:val="16"/>
      </w:rPr>
      <w:fldChar w:fldCharType="separate"/>
    </w:r>
    <w:r>
      <w:rPr>
        <w:sz w:val="16"/>
      </w:rPr>
      <w:t>12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469CA"/>
    <w:rsid w:val="0015074B"/>
    <w:rsid w:val="0029639D"/>
    <w:rsid w:val="00326F90"/>
    <w:rsid w:val="003E6227"/>
    <w:rsid w:val="00686DCA"/>
    <w:rsid w:val="006F2292"/>
    <w:rsid w:val="008471F5"/>
    <w:rsid w:val="00865F04"/>
    <w:rsid w:val="00AA1D8D"/>
    <w:rsid w:val="00B47730"/>
    <w:rsid w:val="00CB0664"/>
    <w:rsid w:val="00FC693F"/>
    <w:rsid w:val="05C6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Calibri" w:hAnsi="Calibri" w:eastAsia="Calibr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numbering" Target="numbering.xml"/><Relationship Id="rId17" Type="http://schemas.openxmlformats.org/officeDocument/2006/relationships/image" Target="media/image2.png"/><Relationship Id="rId16" Type="http://schemas.openxmlformats.org/officeDocument/2006/relationships/image" Target="media/image1.png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1886</Words>
  <Characters>12025</Characters>
  <Lines>101</Lines>
  <Paragraphs>28</Paragraphs>
  <TotalTime>1</TotalTime>
  <ScaleCrop>false</ScaleCrop>
  <LinksUpToDate>false</LinksUpToDate>
  <CharactersWithSpaces>13147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2026-08-13T08:12:00Z</dcterms:created>
  <dc:creator>python-docx</dc:creator>
  <dc:description>generated by python-docx</dc:description>
  <cp:lastModifiedBy>Matija Ladić</cp:lastModifiedBy>
  <dcterms:modified xsi:type="dcterms:W3CDTF">2026-08-13T11:57:32Z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6D2D49791D55432A827CEE2FF341B1DD_12</vt:lpwstr>
  </property>
</Properties>
</file>